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B4" w:rsidRDefault="00BA65A1">
      <w:pPr>
        <w:pStyle w:val="af8"/>
        <w:jc w:val="center"/>
        <w:rPr>
          <w:rFonts w:ascii="Tinos" w:eastAsia="Tinos" w:hAnsi="Tinos" w:cs="Tinos"/>
          <w:b/>
          <w:bCs/>
          <w:sz w:val="28"/>
          <w:szCs w:val="28"/>
        </w:rPr>
      </w:pPr>
      <w:bookmarkStart w:id="0" w:name="_GoBack"/>
      <w:r>
        <w:rPr>
          <w:rFonts w:ascii="Tinos" w:eastAsia="Tinos" w:hAnsi="Tinos" w:cs="Tinos"/>
          <w:b/>
          <w:bCs/>
          <w:sz w:val="28"/>
          <w:szCs w:val="28"/>
        </w:rPr>
        <w:t xml:space="preserve">Ежемесячная денежная выплата многодетным семьям на детей, обучающихся в общеобразовательных организациях  </w:t>
      </w:r>
    </w:p>
    <w:p w:rsidR="009A09B4" w:rsidRDefault="00BA65A1">
      <w:pPr>
        <w:pStyle w:val="af8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(</w:t>
      </w:r>
      <w:proofErr w:type="gramStart"/>
      <w:r>
        <w:rPr>
          <w:rFonts w:ascii="Tinos" w:eastAsia="Tinos" w:hAnsi="Tinos" w:cs="Tinos"/>
          <w:sz w:val="28"/>
          <w:szCs w:val="28"/>
        </w:rPr>
        <w:t>дополнительная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МСП многодетным семьям)</w:t>
      </w:r>
    </w:p>
    <w:bookmarkEnd w:id="0"/>
    <w:p w:rsidR="009A09B4" w:rsidRDefault="009A09B4">
      <w:pPr>
        <w:pStyle w:val="af8"/>
        <w:jc w:val="center"/>
        <w:rPr>
          <w:rFonts w:ascii="Tinos" w:hAnsi="Tinos" w:cs="Tinos"/>
          <w:sz w:val="28"/>
          <w:szCs w:val="28"/>
        </w:rPr>
      </w:pPr>
    </w:p>
    <w:tbl>
      <w:tblPr>
        <w:tblStyle w:val="ae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 w:rsidR="009A09B4">
        <w:tc>
          <w:tcPr>
            <w:tcW w:w="1984" w:type="dxa"/>
          </w:tcPr>
          <w:p w:rsidR="009A09B4" w:rsidRDefault="00BA65A1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Нормативные акты</w:t>
            </w:r>
          </w:p>
        </w:tc>
        <w:tc>
          <w:tcPr>
            <w:tcW w:w="8895" w:type="dxa"/>
          </w:tcPr>
          <w:p w:rsidR="009A09B4" w:rsidRDefault="00BA65A1">
            <w:pPr>
              <w:jc w:val="both"/>
              <w:rPr>
                <w:rFonts w:ascii="Tinos" w:eastAsia="Tinos" w:hAnsi="Tinos" w:cs="Tinos"/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>
              <w:rPr>
                <w:rFonts w:ascii="Tinos" w:eastAsia="Tinos" w:hAnsi="Tinos" w:cs="Tinos"/>
                <w:bCs/>
                <w:sz w:val="26"/>
                <w:szCs w:val="26"/>
              </w:rPr>
              <w:t xml:space="preserve">   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 xml:space="preserve">  Закон Самарской области от 02.07.2004 № 122-ГД «О государственной поддержке граждан, имеющих детей»</w:t>
            </w:r>
          </w:p>
          <w:p w:rsidR="009A09B4" w:rsidRDefault="00BA65A1">
            <w:pPr>
              <w:pStyle w:val="af8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bCs/>
                <w:sz w:val="26"/>
                <w:szCs w:val="26"/>
              </w:rPr>
              <w:t xml:space="preserve">       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Действие настоящего Закона </w:t>
            </w:r>
            <w:r>
              <w:rPr>
                <w:rFonts w:ascii="Tinos" w:eastAsia="Tinos" w:hAnsi="Tinos" w:cs="Tinos"/>
                <w:sz w:val="26"/>
                <w:szCs w:val="26"/>
                <w:u w:val="single"/>
              </w:rPr>
              <w:t xml:space="preserve">распространяется </w:t>
            </w:r>
            <w:r>
              <w:rPr>
                <w:rFonts w:ascii="Tinos" w:eastAsia="Tinos" w:hAnsi="Tinos" w:cs="Tinos"/>
                <w:sz w:val="26"/>
                <w:szCs w:val="26"/>
              </w:rPr>
              <w:t>на граждан РФ, иностранных граждан и лиц без гражданства, имеющих место  жительства или пребывания на территории Самарской области.</w:t>
            </w:r>
          </w:p>
          <w:p w:rsidR="009A09B4" w:rsidRDefault="00BA65A1">
            <w:pPr>
              <w:pStyle w:val="af8"/>
              <w:jc w:val="both"/>
              <w:rPr>
                <w:rFonts w:ascii="Tinos" w:hAnsi="Tinos" w:cs="Tinos"/>
                <w:sz w:val="26"/>
                <w:szCs w:val="26"/>
                <w:u w:val="single"/>
              </w:rPr>
            </w:pP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       Действие настоящего Закона н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  <w:u w:val="single"/>
              </w:rPr>
              <w:t>е распространяется:</w:t>
            </w:r>
          </w:p>
          <w:p w:rsidR="009A09B4" w:rsidRDefault="00BA65A1">
            <w:pPr>
              <w:pStyle w:val="af8"/>
              <w:numPr>
                <w:ilvl w:val="0"/>
                <w:numId w:val="7"/>
              </w:numP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>на граждан РФ, иностранных граждан и лиц без гражданства, дети которы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>х находятся на полном государственном обеспечении;</w:t>
            </w:r>
          </w:p>
          <w:p w:rsidR="009A09B4" w:rsidRDefault="00BA65A1">
            <w:pPr>
              <w:pStyle w:val="af8"/>
              <w:numPr>
                <w:ilvl w:val="0"/>
                <w:numId w:val="7"/>
              </w:numPr>
              <w:jc w:val="both"/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на граждан РФ, иностранных граждан и лиц без  гражданства, лишенных родительских прав либо родительские права которых  ограничены по решению суда.</w:t>
            </w:r>
          </w:p>
          <w:p w:rsidR="009A09B4" w:rsidRDefault="00BA65A1">
            <w:pPr>
              <w:pStyle w:val="af8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        </w:t>
            </w:r>
            <w:proofErr w:type="gramStart"/>
            <w:r>
              <w:rPr>
                <w:rFonts w:ascii="Tinos" w:eastAsia="Tinos" w:hAnsi="Tinos" w:cs="Tinos"/>
                <w:b/>
                <w:bCs/>
                <w:sz w:val="28"/>
                <w:szCs w:val="28"/>
                <w:u w:val="single"/>
              </w:rPr>
              <w:t>Под многодетной семьей в Самарской области понима</w:t>
            </w:r>
            <w:r>
              <w:rPr>
                <w:rFonts w:ascii="Tinos" w:eastAsia="Tinos" w:hAnsi="Tinos" w:cs="Tinos"/>
                <w:b/>
                <w:bCs/>
                <w:sz w:val="28"/>
                <w:szCs w:val="28"/>
                <w:u w:val="single"/>
              </w:rPr>
              <w:t>ется семья</w:t>
            </w:r>
            <w:r>
              <w:rPr>
                <w:rFonts w:ascii="Tinos" w:eastAsia="Tinos" w:hAnsi="Tinos" w:cs="Tinos"/>
                <w:b/>
                <w:bCs/>
                <w:sz w:val="28"/>
                <w:szCs w:val="28"/>
              </w:rPr>
              <w:t>,</w:t>
            </w:r>
            <w:r>
              <w:rPr>
                <w:rFonts w:ascii="Tinos" w:eastAsia="Tinos" w:hAnsi="Tinos" w:cs="Tinos"/>
                <w:sz w:val="28"/>
                <w:szCs w:val="28"/>
              </w:rPr>
              <w:t xml:space="preserve"> все члены которой являются  граж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данами Российской Федерации, проживающая на территории Самарской  области, 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  <w:u w:val="single"/>
              </w:rPr>
              <w:t>имеющая трех и более детей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 (включая рожденных (усыновленных),  приемных и (или) находящихся под опекой (попечительством) 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  <w:u w:val="single"/>
              </w:rPr>
              <w:t>в возрасте до  1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  <w:u w:val="single"/>
              </w:rPr>
              <w:t>8 лет и (или) 23 лет при условии их обучения</w:t>
            </w:r>
            <w:r>
              <w:rPr>
                <w:rFonts w:ascii="Tinos" w:eastAsia="Tinos" w:hAnsi="Tinos" w:cs="Tinos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в  организации, осуществляющей образовательную деятельность, 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  <w:u w:val="single"/>
              </w:rPr>
              <w:t xml:space="preserve">по очной форме 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 обучения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  <w:u w:val="single"/>
              </w:rPr>
              <w:t xml:space="preserve"> или участия в</w:t>
            </w:r>
            <w:proofErr w:type="gramEnd"/>
            <w:r>
              <w:rPr>
                <w:rFonts w:ascii="Tinos" w:eastAsia="Tinos" w:hAnsi="Tinos" w:cs="Tinos"/>
                <w:b/>
                <w:bCs/>
                <w:sz w:val="26"/>
                <w:szCs w:val="26"/>
                <w:u w:val="single"/>
              </w:rPr>
              <w:t xml:space="preserve"> специальной военной операции </w:t>
            </w:r>
            <w:r>
              <w:rPr>
                <w:rFonts w:ascii="Tinos" w:eastAsia="Tinos" w:hAnsi="Tinos" w:cs="Tinos"/>
                <w:sz w:val="26"/>
                <w:szCs w:val="26"/>
              </w:rPr>
              <w:t>на территориях Украины, Донецкой Народной Республики, Луганской Народной Республик</w:t>
            </w:r>
            <w:r>
              <w:rPr>
                <w:rFonts w:ascii="Tinos" w:eastAsia="Tinos" w:hAnsi="Tinos" w:cs="Tinos"/>
                <w:sz w:val="26"/>
                <w:szCs w:val="26"/>
              </w:rPr>
              <w:t>и, Запорожской области и Херсонской области, а также в случае признания их в результате участия в специальной военной операции инвалидами в установленном действующим законодательством порядке.</w:t>
            </w:r>
          </w:p>
        </w:tc>
      </w:tr>
      <w:tr w:rsidR="009A09B4">
        <w:tc>
          <w:tcPr>
            <w:tcW w:w="1984" w:type="dxa"/>
          </w:tcPr>
          <w:p w:rsidR="009A09B4" w:rsidRDefault="00BA65A1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Размер выплаты </w:t>
            </w:r>
          </w:p>
        </w:tc>
        <w:tc>
          <w:tcPr>
            <w:tcW w:w="8895" w:type="dxa"/>
          </w:tcPr>
          <w:p w:rsidR="009A09B4" w:rsidRDefault="00BA65A1">
            <w:pPr>
              <w:pStyle w:val="ConsPlusNormal"/>
              <w:ind w:firstLine="540"/>
              <w:jc w:val="center"/>
              <w:rPr>
                <w:rFonts w:ascii="Tinos" w:hAnsi="Tinos" w:cs="Tinos"/>
                <w:b/>
                <w:bCs/>
                <w:sz w:val="28"/>
                <w:szCs w:val="28"/>
              </w:rPr>
            </w:pP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Размер выплаты составляет 100 рублей. </w:t>
            </w:r>
          </w:p>
          <w:p w:rsidR="009A09B4" w:rsidRDefault="00BA65A1">
            <w:pPr>
              <w:jc w:val="center"/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</w:t>
            </w:r>
          </w:p>
        </w:tc>
      </w:tr>
      <w:tr w:rsidR="009A09B4">
        <w:tc>
          <w:tcPr>
            <w:tcW w:w="1984" w:type="dxa"/>
          </w:tcPr>
          <w:p w:rsidR="009A09B4" w:rsidRDefault="00BA65A1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Условия получения выплаты </w:t>
            </w:r>
          </w:p>
        </w:tc>
        <w:tc>
          <w:tcPr>
            <w:tcW w:w="8895" w:type="dxa"/>
          </w:tcPr>
          <w:p w:rsidR="009A09B4" w:rsidRDefault="00BA65A1">
            <w:pPr>
              <w:pStyle w:val="af8"/>
              <w:jc w:val="both"/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     Ежемесячная денежная выплата многодетным семьям назначается  Управлением по месту жительства (пребывания) заявителя.  </w:t>
            </w:r>
          </w:p>
          <w:p w:rsidR="009A09B4" w:rsidRDefault="00BA65A1">
            <w:pPr>
              <w:pStyle w:val="af8"/>
              <w:jc w:val="both"/>
              <w:rPr>
                <w:rFonts w:ascii="Tinos" w:eastAsia="Tinos" w:hAnsi="Tinos" w:cs="Tinos"/>
                <w:sz w:val="26"/>
                <w:szCs w:val="26"/>
                <w:u w:val="single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    Ежемесячная денежная выплата многодетным семьям назначается на каждого ребенка до достижения им воз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раста шестнадцати лет (на учащегося общеобразовательной организации - до окончания им обучения, но не более чем до достижения им возраста восемнадцати лет) </w:t>
            </w:r>
            <w:r>
              <w:rPr>
                <w:rFonts w:ascii="Tinos" w:eastAsia="Tinos" w:hAnsi="Tinos" w:cs="Tinos"/>
                <w:sz w:val="26"/>
                <w:szCs w:val="26"/>
                <w:u w:val="single"/>
              </w:rPr>
              <w:t>с месяца подачи заявления на период сохранения семьей статуса многодетной.</w:t>
            </w:r>
          </w:p>
          <w:p w:rsidR="009A09B4" w:rsidRDefault="00BA65A1">
            <w:pPr>
              <w:pStyle w:val="af8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     Данная выплата прио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станавливается с 1 сентября каждого учебного года при </w:t>
            </w:r>
            <w:proofErr w:type="spellStart"/>
            <w:r>
              <w:rPr>
                <w:rFonts w:ascii="Tinos" w:eastAsia="Tinos" w:hAnsi="Tinos" w:cs="Tinos"/>
                <w:sz w:val="26"/>
                <w:szCs w:val="26"/>
              </w:rPr>
              <w:t>непоступлении</w:t>
            </w:r>
            <w:proofErr w:type="spellEnd"/>
            <w:r>
              <w:rPr>
                <w:rFonts w:ascii="Tinos" w:eastAsia="Tinos" w:hAnsi="Tinos" w:cs="Tinos"/>
                <w:sz w:val="26"/>
                <w:szCs w:val="26"/>
              </w:rPr>
              <w:t xml:space="preserve"> справки из общеобразовательной организации, подтверждающей продолжение обучения. Возобновление предоставления ежемесячной денежной выплаты производится с месяца приостановления выплаты при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 условии поступления сведений из общеобразовательной организации, подтверждающей продолжение обучения,  в течение 6 месяцев после приостановления выплат.</w:t>
            </w:r>
          </w:p>
        </w:tc>
      </w:tr>
      <w:tr w:rsidR="009A09B4">
        <w:trPr>
          <w:trHeight w:val="229"/>
        </w:trPr>
        <w:tc>
          <w:tcPr>
            <w:tcW w:w="1984" w:type="dxa"/>
          </w:tcPr>
          <w:p w:rsidR="009A09B4" w:rsidRDefault="00BA65A1">
            <w:pPr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Способ подачи заявления</w:t>
            </w:r>
          </w:p>
        </w:tc>
        <w:tc>
          <w:tcPr>
            <w:tcW w:w="8895" w:type="dxa"/>
          </w:tcPr>
          <w:p w:rsidR="009A09B4" w:rsidRDefault="00BA65A1">
            <w:pP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Лично</w:t>
            </w:r>
          </w:p>
        </w:tc>
      </w:tr>
      <w:tr w:rsidR="009A09B4">
        <w:tc>
          <w:tcPr>
            <w:tcW w:w="1984" w:type="dxa"/>
          </w:tcPr>
          <w:p w:rsidR="009A09B4" w:rsidRDefault="00BA65A1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Необходимые документы (сведения)</w:t>
            </w:r>
          </w:p>
          <w:p w:rsidR="009A09B4" w:rsidRDefault="00BA65A1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 </w:t>
            </w:r>
          </w:p>
          <w:p w:rsidR="009A09B4" w:rsidRDefault="009A09B4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9A09B4" w:rsidRDefault="00BA65A1">
            <w:pPr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Сведения со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lastRenderedPageBreak/>
              <w:t xml:space="preserve">знаком «*» заявитель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>предоставляет самостоятельно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 в течение 10 рабочих дней со дня регистрации заявления</w:t>
            </w:r>
          </w:p>
        </w:tc>
        <w:tc>
          <w:tcPr>
            <w:tcW w:w="8895" w:type="dxa"/>
          </w:tcPr>
          <w:p w:rsidR="009A09B4" w:rsidRDefault="00BA65A1">
            <w:pPr>
              <w:pStyle w:val="ConsPlusNormal"/>
              <w:spacing w:before="220"/>
              <w:jc w:val="both"/>
            </w:pPr>
            <w:r>
              <w:lastRenderedPageBreak/>
              <w:t xml:space="preserve">        </w:t>
            </w:r>
            <w:r>
              <w:rPr>
                <w:b/>
                <w:bCs/>
              </w:rPr>
              <w:t xml:space="preserve"> *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1) </w:t>
            </w:r>
            <w:r>
              <w:rPr>
                <w:rFonts w:ascii="Tinos" w:eastAsia="Tinos" w:hAnsi="Tinos" w:cs="Tinos"/>
                <w:sz w:val="24"/>
                <w:szCs w:val="24"/>
              </w:rPr>
              <w:t>заявление;</w:t>
            </w:r>
          </w:p>
          <w:p w:rsidR="009A09B4" w:rsidRDefault="00BA65A1">
            <w:pPr>
              <w:pStyle w:val="af8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 *2) </w:t>
            </w:r>
            <w:r>
              <w:rPr>
                <w:rFonts w:ascii="Tinos" w:eastAsia="Tinos" w:hAnsi="Tinos" w:cs="Tinos"/>
                <w:sz w:val="24"/>
                <w:szCs w:val="24"/>
              </w:rPr>
              <w:t>документ, удостоверяющий личность заявителя;</w:t>
            </w:r>
          </w:p>
          <w:p w:rsidR="009A09B4" w:rsidRDefault="00BA65A1">
            <w:pPr>
              <w:pStyle w:val="af8"/>
              <w:jc w:val="both"/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   3) документы (сведения) о рождении всех детей и наличии у них гражданства Российской Федерации. </w:t>
            </w:r>
          </w:p>
          <w:p w:rsidR="009A09B4" w:rsidRDefault="00BA65A1">
            <w:pPr>
              <w:pStyle w:val="af8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   *Д</w:t>
            </w:r>
            <w:r>
              <w:rPr>
                <w:rFonts w:ascii="Tinos" w:eastAsia="Tinos" w:hAnsi="Tinos" w:cs="Tinos"/>
                <w:sz w:val="24"/>
                <w:szCs w:val="24"/>
              </w:rPr>
              <w:t>окументы (сведения о рождении ребенка (детей)</w:t>
            </w:r>
            <w:r>
              <w:rPr>
                <w:rFonts w:ascii="Tinos" w:eastAsia="Tinos" w:hAnsi="Tinos" w:cs="Tinos"/>
                <w:color w:val="000000"/>
                <w:sz w:val="24"/>
                <w:szCs w:val="24"/>
              </w:rPr>
              <w:t xml:space="preserve"> компетентного органа  иностранного государства, 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 наличие гражданства РФ у детей;</w:t>
            </w:r>
          </w:p>
          <w:p w:rsidR="009A09B4" w:rsidRDefault="00BA65A1">
            <w:pPr>
              <w:pStyle w:val="af8"/>
              <w:jc w:val="both"/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lastRenderedPageBreak/>
              <w:t xml:space="preserve">       4) св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едения из общеобразовательной организации о получении общего образования в данной общеобразовательной организации (на учащегося общеобразовательной организации), </w:t>
            </w:r>
          </w:p>
          <w:p w:rsidR="009A09B4" w:rsidRDefault="00BA65A1">
            <w:pPr>
              <w:pStyle w:val="af8"/>
              <w:jc w:val="both"/>
              <w:rPr>
                <w:rFonts w:ascii="Tinos" w:hAnsi="Tinos" w:cs="Tinos"/>
                <w:sz w:val="24"/>
                <w:szCs w:val="24"/>
                <w:u w:val="single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 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>* а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также сведения об обучении детей (ребенка) из многодетных семей, не достигших во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зраста 23 лет, в организации, осуществляющей образовательную деятельность, по очной форме обучения, </w:t>
            </w:r>
            <w:r>
              <w:rPr>
                <w:rFonts w:ascii="Tinos" w:eastAsia="Tinos" w:hAnsi="Tinos" w:cs="Tinos"/>
                <w:sz w:val="24"/>
                <w:szCs w:val="24"/>
                <w:u w:val="single"/>
              </w:rPr>
              <w:t>которые обновляются 1 сентября каждого учебного года;</w:t>
            </w:r>
          </w:p>
          <w:p w:rsidR="009A09B4" w:rsidRDefault="00BA65A1">
            <w:pPr>
              <w:pStyle w:val="af8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>*4.1)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</w:t>
            </w:r>
            <w:r>
              <w:rPr>
                <w:rFonts w:ascii="Tinos" w:eastAsia="Tinos" w:hAnsi="Tinos" w:cs="Tinos"/>
                <w:sz w:val="24"/>
                <w:szCs w:val="24"/>
                <w:u w:val="single"/>
              </w:rPr>
              <w:t xml:space="preserve">сведения (документы), подтверждающие факт </w:t>
            </w:r>
            <w:r>
              <w:rPr>
                <w:rFonts w:ascii="Tinos" w:eastAsia="Tinos" w:hAnsi="Tinos" w:cs="Tinos"/>
                <w:sz w:val="24"/>
                <w:szCs w:val="24"/>
              </w:rPr>
              <w:t>прохождения военной службы по призыву, военной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службы по контракту, службы в войсках национальной гвардии Российской Федерации, военной службы по мобилизации в Вооруженных Силах Российской Федерации либо в добровольческих формированиях в соответствии с контрактом о добровольном содействии в выполнении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задач, возложенных на Вооруженные Силы Российской Федерации или войска национальной гвардии Российской Федерации, факт заключения контракта (наличие</w:t>
            </w:r>
            <w:proofErr w:type="gramEnd"/>
            <w:r>
              <w:rPr>
                <w:rFonts w:ascii="Tinos" w:eastAsia="Tinos" w:hAnsi="Tinos" w:cs="Tinos"/>
                <w:sz w:val="24"/>
                <w:szCs w:val="24"/>
              </w:rPr>
              <w:t xml:space="preserve"> иных правоотношений) с организацией, содействующей выполнению задач, возложенных на Вооруженные Силы Росси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йской Федерации, и </w:t>
            </w:r>
            <w:r>
              <w:rPr>
                <w:rFonts w:ascii="Tinos" w:eastAsia="Tinos" w:hAnsi="Tinos" w:cs="Tinos"/>
                <w:sz w:val="24"/>
                <w:szCs w:val="24"/>
                <w:u w:val="single"/>
              </w:rPr>
              <w:t xml:space="preserve">участия в специальной военной операции </w:t>
            </w:r>
            <w:r>
              <w:rPr>
                <w:rFonts w:ascii="Tinos" w:eastAsia="Tinos" w:hAnsi="Tinos" w:cs="Tinos"/>
                <w:sz w:val="24"/>
                <w:szCs w:val="24"/>
              </w:rPr>
              <w:t>на территориях Украины, Донецкой Народной Республики, Луганской Народной Республики, Запорожской области и Херсонской области;</w:t>
            </w:r>
          </w:p>
          <w:p w:rsidR="009A09B4" w:rsidRDefault="00BA65A1">
            <w:pPr>
              <w:pStyle w:val="af8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 4.2) </w:t>
            </w:r>
            <w:r>
              <w:rPr>
                <w:rFonts w:ascii="Tinos" w:eastAsia="Tinos" w:hAnsi="Tinos" w:cs="Tinos"/>
                <w:sz w:val="24"/>
                <w:szCs w:val="24"/>
                <w:u w:val="single"/>
              </w:rPr>
              <w:t>сведения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из единой цифровой платформы о</w:t>
            </w:r>
            <w:r>
              <w:rPr>
                <w:rFonts w:ascii="Tinos" w:eastAsia="Tinos" w:hAnsi="Tinos" w:cs="Tinos"/>
                <w:sz w:val="24"/>
                <w:szCs w:val="24"/>
                <w:u w:val="single"/>
              </w:rPr>
              <w:t xml:space="preserve"> признании граждани</w:t>
            </w:r>
            <w:r>
              <w:rPr>
                <w:rFonts w:ascii="Tinos" w:eastAsia="Tinos" w:hAnsi="Tinos" w:cs="Tinos"/>
                <w:sz w:val="24"/>
                <w:szCs w:val="24"/>
                <w:u w:val="single"/>
              </w:rPr>
              <w:t>на инвалидом в связи с военной травмой или заболеванием, полученным в период  участия в специальной военной операции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 на территориях Украины, Донецкой Народной Республики, Луганской Народной Республики, Запорожской области и Херсонской области;</w:t>
            </w:r>
          </w:p>
          <w:p w:rsidR="009A09B4" w:rsidRDefault="00BA65A1">
            <w:pPr>
              <w:pStyle w:val="af8"/>
              <w:jc w:val="both"/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 5) с</w:t>
            </w:r>
            <w:r>
              <w:rPr>
                <w:rFonts w:ascii="Tinos" w:eastAsia="Tinos" w:hAnsi="Tinos" w:cs="Tinos"/>
                <w:sz w:val="24"/>
                <w:szCs w:val="24"/>
              </w:rPr>
              <w:t xml:space="preserve">ведения МВД России о регистрации   на территории Самарской области заявителя и его детей. </w:t>
            </w:r>
          </w:p>
          <w:p w:rsidR="009A09B4" w:rsidRDefault="00BA65A1">
            <w:pPr>
              <w:pStyle w:val="af8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</w:t>
            </w:r>
            <w:r>
              <w:rPr>
                <w:rFonts w:ascii="Tinos" w:eastAsia="Tinos" w:hAnsi="Tinos" w:cs="Tinos"/>
                <w:b/>
                <w:bCs/>
                <w:sz w:val="24"/>
                <w:szCs w:val="24"/>
              </w:rPr>
              <w:t xml:space="preserve">  *В </w:t>
            </w:r>
            <w:r>
              <w:rPr>
                <w:rFonts w:ascii="Tinos" w:eastAsia="Tinos" w:hAnsi="Tinos" w:cs="Tinos"/>
                <w:sz w:val="24"/>
                <w:szCs w:val="24"/>
              </w:rPr>
              <w:t>случае отсутствия регистрации по месту пребывания заявитель представляет иные документы, подтверждающие факт пребывания на терри</w:t>
            </w:r>
            <w:r>
              <w:rPr>
                <w:rFonts w:ascii="Tinos" w:eastAsia="Tinos" w:hAnsi="Tinos" w:cs="Tinos"/>
                <w:sz w:val="24"/>
                <w:szCs w:val="24"/>
              </w:rPr>
              <w:t>тории Самарской области: решение суда об установлении факта проживания на территории Самарской области, договор найма жилого помещения, договор безвозмездного пользования жилым помещением, заключенные в соответствии с нормами действующего законодательства;</w:t>
            </w:r>
          </w:p>
          <w:p w:rsidR="009A09B4" w:rsidRDefault="00BA65A1">
            <w:pPr>
              <w:pStyle w:val="af8"/>
              <w:jc w:val="both"/>
              <w:rPr>
                <w:rFonts w:ascii="Tinos" w:hAnsi="Tinos" w:cs="Tinos"/>
                <w:sz w:val="24"/>
                <w:szCs w:val="24"/>
                <w:u w:val="single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  6) информация органа, осуществляющего социальную поддержку населения по месту постоянного проживания заявителя, о неполучении им иной аналогичной ежемесячной денежной выплаты многодетным семьям (в случае подачи заявления в орган, осуществляющий с</w:t>
            </w:r>
            <w:r>
              <w:rPr>
                <w:rFonts w:ascii="Tinos" w:eastAsia="Tinos" w:hAnsi="Tinos" w:cs="Tinos"/>
                <w:sz w:val="24"/>
                <w:szCs w:val="24"/>
              </w:rPr>
              <w:t>оциальную поддержку населения по месту пребывания, и при наличии у заявителя места постоянного проживания за пределами Самарской области) или соответствующие сведения из единой централизованной платформ</w:t>
            </w:r>
            <w:proofErr w:type="gramStart"/>
            <w:r>
              <w:rPr>
                <w:rFonts w:ascii="Tinos" w:eastAsia="Tinos" w:hAnsi="Tinos" w:cs="Tinos"/>
                <w:sz w:val="24"/>
                <w:szCs w:val="24"/>
              </w:rPr>
              <w:t>ы-</w:t>
            </w:r>
            <w:proofErr w:type="gramEnd"/>
            <w:r>
              <w:rPr>
                <w:rFonts w:ascii="Tinos" w:eastAsia="Tinos" w:hAnsi="Tinos" w:cs="Tinos"/>
                <w:sz w:val="24"/>
                <w:szCs w:val="24"/>
              </w:rPr>
              <w:t xml:space="preserve"> </w:t>
            </w:r>
            <w:r>
              <w:rPr>
                <w:rFonts w:ascii="Tinos" w:eastAsia="Tinos" w:hAnsi="Tinos" w:cs="Tinos"/>
                <w:sz w:val="24"/>
                <w:szCs w:val="24"/>
                <w:u w:val="single"/>
              </w:rPr>
              <w:t>ЕГИССО;</w:t>
            </w:r>
          </w:p>
          <w:p w:rsidR="009A09B4" w:rsidRDefault="00BA65A1">
            <w:pPr>
              <w:pStyle w:val="af8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      7) сведения Фонда пенсионного и соц</w:t>
            </w:r>
            <w:r>
              <w:rPr>
                <w:rFonts w:ascii="Tinos" w:eastAsia="Tinos" w:hAnsi="Tinos" w:cs="Tinos"/>
                <w:sz w:val="24"/>
                <w:szCs w:val="24"/>
              </w:rPr>
              <w:t>иального страхования Российской Федерации об отсутствии факта лишения (ограничения) родительских прав, отобрания ребенка при непосредственной угрозе его жизни или здоровью.</w:t>
            </w:r>
          </w:p>
        </w:tc>
      </w:tr>
      <w:tr w:rsidR="009A09B4">
        <w:trPr>
          <w:trHeight w:val="299"/>
        </w:trPr>
        <w:tc>
          <w:tcPr>
            <w:tcW w:w="1984" w:type="dxa"/>
            <w:vMerge w:val="restart"/>
          </w:tcPr>
          <w:p w:rsidR="009A09B4" w:rsidRDefault="00BA65A1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lastRenderedPageBreak/>
              <w:t>Способ получения пособия</w:t>
            </w:r>
          </w:p>
        </w:tc>
        <w:tc>
          <w:tcPr>
            <w:tcW w:w="8895" w:type="dxa"/>
            <w:vMerge w:val="restart"/>
          </w:tcPr>
          <w:p w:rsidR="009A09B4" w:rsidRDefault="00BA65A1">
            <w:pP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с учетом выбора гражданина:</w:t>
            </w:r>
          </w:p>
          <w:p w:rsidR="009A09B4" w:rsidRDefault="00BA65A1">
            <w:pP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на счет, открытый в кредитной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 организации, или</w:t>
            </w:r>
          </w:p>
          <w:p w:rsidR="009A09B4" w:rsidRDefault="00BA65A1">
            <w:pP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через отделения почтовой связи по месту жительства  </w:t>
            </w:r>
          </w:p>
        </w:tc>
      </w:tr>
      <w:tr w:rsidR="009A09B4">
        <w:trPr>
          <w:trHeight w:val="276"/>
        </w:trPr>
        <w:tc>
          <w:tcPr>
            <w:tcW w:w="1984" w:type="dxa"/>
            <w:vMerge w:val="restart"/>
          </w:tcPr>
          <w:p w:rsidR="009A09B4" w:rsidRDefault="00BA65A1">
            <w:pPr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Обращаться </w:t>
            </w:r>
          </w:p>
        </w:tc>
        <w:tc>
          <w:tcPr>
            <w:tcW w:w="8895" w:type="dxa"/>
            <w:vMerge w:val="restart"/>
          </w:tcPr>
          <w:p w:rsidR="009A09B4" w:rsidRDefault="00BA65A1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Управление по м.р. Большеглушицкий ГКУ СО «ГУСЗН Южного округа» </w:t>
            </w:r>
          </w:p>
          <w:p w:rsidR="009A09B4" w:rsidRDefault="00BA65A1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по адресу: 4460180, Самарская область, Большеглушицкий район, </w:t>
            </w:r>
            <w:proofErr w:type="gramStart"/>
            <w:r>
              <w:rPr>
                <w:rFonts w:ascii="Tinos" w:eastAsia="Tinos" w:hAnsi="Tinos" w:cs="Tinos"/>
                <w:sz w:val="26"/>
                <w:szCs w:val="26"/>
              </w:rPr>
              <w:t>с</w:t>
            </w:r>
            <w:proofErr w:type="gramEnd"/>
            <w:r>
              <w:rPr>
                <w:rFonts w:ascii="Tinos" w:eastAsia="Tinos" w:hAnsi="Tinos" w:cs="Tinos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nos" w:eastAsia="Tinos" w:hAnsi="Tinos" w:cs="Tinos"/>
                <w:sz w:val="26"/>
                <w:szCs w:val="26"/>
              </w:rPr>
              <w:t>Большая</w:t>
            </w:r>
            <w:proofErr w:type="gramEnd"/>
            <w:r>
              <w:rPr>
                <w:rFonts w:ascii="Tinos" w:eastAsia="Tinos" w:hAnsi="Tinos" w:cs="Tinos"/>
                <w:sz w:val="26"/>
                <w:szCs w:val="26"/>
              </w:rPr>
              <w:t xml:space="preserve"> Глушица, ул. Гагарина, д.27, </w:t>
            </w:r>
            <w:proofErr w:type="spellStart"/>
            <w:r>
              <w:rPr>
                <w:rFonts w:ascii="Tinos" w:eastAsia="Tinos" w:hAnsi="Tinos" w:cs="Tinos"/>
                <w:sz w:val="26"/>
                <w:szCs w:val="26"/>
              </w:rPr>
              <w:t>каб</w:t>
            </w:r>
            <w:proofErr w:type="spellEnd"/>
            <w:r>
              <w:rPr>
                <w:rFonts w:ascii="Tinos" w:eastAsia="Tinos" w:hAnsi="Tinos" w:cs="Tinos"/>
                <w:sz w:val="26"/>
                <w:szCs w:val="26"/>
              </w:rPr>
              <w:t>. 7, 15, тел. 8(846 73)  2-13-08, 2-13-07</w:t>
            </w:r>
          </w:p>
        </w:tc>
      </w:tr>
    </w:tbl>
    <w:p w:rsidR="009A09B4" w:rsidRDefault="009A09B4">
      <w:pPr>
        <w:rPr>
          <w:rFonts w:ascii="Tinos" w:hAnsi="Tinos" w:cs="Tinos"/>
          <w:sz w:val="26"/>
          <w:szCs w:val="26"/>
        </w:rPr>
      </w:pPr>
    </w:p>
    <w:sectPr w:rsidR="009A09B4">
      <w:footerReference w:type="default" r:id="rId8"/>
      <w:pgSz w:w="11906" w:h="16838"/>
      <w:pgMar w:top="425" w:right="850" w:bottom="283" w:left="992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A1" w:rsidRDefault="00BA65A1">
      <w:pPr>
        <w:spacing w:after="0" w:line="240" w:lineRule="auto"/>
      </w:pPr>
      <w:r>
        <w:separator/>
      </w:r>
    </w:p>
  </w:endnote>
  <w:endnote w:type="continuationSeparator" w:id="0">
    <w:p w:rsidR="00BA65A1" w:rsidRDefault="00BA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B4" w:rsidRDefault="009A09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A1" w:rsidRDefault="00BA65A1">
      <w:pPr>
        <w:spacing w:after="0" w:line="240" w:lineRule="auto"/>
      </w:pPr>
      <w:r>
        <w:separator/>
      </w:r>
    </w:p>
  </w:footnote>
  <w:footnote w:type="continuationSeparator" w:id="0">
    <w:p w:rsidR="00BA65A1" w:rsidRDefault="00BA6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7F22"/>
    <w:multiLevelType w:val="hybridMultilevel"/>
    <w:tmpl w:val="06FA199A"/>
    <w:lvl w:ilvl="0" w:tplc="ACEC58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09C74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F08A8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C942F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E682B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212B6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D103C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2B6CB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ADE9F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312F17E1"/>
    <w:multiLevelType w:val="hybridMultilevel"/>
    <w:tmpl w:val="6E089CF8"/>
    <w:lvl w:ilvl="0" w:tplc="82906A8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6FA8F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B87E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33A8E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1E0A8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BD23B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D88B4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BAEDA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A6222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31430273"/>
    <w:multiLevelType w:val="hybridMultilevel"/>
    <w:tmpl w:val="53A8AA72"/>
    <w:lvl w:ilvl="0" w:tplc="8B641D2C">
      <w:start w:val="1"/>
      <w:numFmt w:val="decimal"/>
      <w:lvlText w:val="%1."/>
      <w:lvlJc w:val="left"/>
      <w:pPr>
        <w:ind w:left="709" w:hanging="360"/>
      </w:pPr>
    </w:lvl>
    <w:lvl w:ilvl="1" w:tplc="79CE43E2">
      <w:start w:val="1"/>
      <w:numFmt w:val="lowerLetter"/>
      <w:lvlText w:val="%2."/>
      <w:lvlJc w:val="left"/>
      <w:pPr>
        <w:ind w:left="1429" w:hanging="360"/>
      </w:pPr>
    </w:lvl>
    <w:lvl w:ilvl="2" w:tplc="CA06FCAA">
      <w:start w:val="1"/>
      <w:numFmt w:val="lowerRoman"/>
      <w:lvlText w:val="%3."/>
      <w:lvlJc w:val="right"/>
      <w:pPr>
        <w:ind w:left="2149" w:hanging="180"/>
      </w:pPr>
    </w:lvl>
    <w:lvl w:ilvl="3" w:tplc="A48AE7FC">
      <w:start w:val="1"/>
      <w:numFmt w:val="decimal"/>
      <w:lvlText w:val="%4."/>
      <w:lvlJc w:val="left"/>
      <w:pPr>
        <w:ind w:left="2869" w:hanging="360"/>
      </w:pPr>
    </w:lvl>
    <w:lvl w:ilvl="4" w:tplc="439E8E12">
      <w:start w:val="1"/>
      <w:numFmt w:val="lowerLetter"/>
      <w:lvlText w:val="%5."/>
      <w:lvlJc w:val="left"/>
      <w:pPr>
        <w:ind w:left="3589" w:hanging="360"/>
      </w:pPr>
    </w:lvl>
    <w:lvl w:ilvl="5" w:tplc="EAB6DB06">
      <w:start w:val="1"/>
      <w:numFmt w:val="lowerRoman"/>
      <w:lvlText w:val="%6."/>
      <w:lvlJc w:val="right"/>
      <w:pPr>
        <w:ind w:left="4309" w:hanging="180"/>
      </w:pPr>
    </w:lvl>
    <w:lvl w:ilvl="6" w:tplc="1B0C0B0A">
      <w:start w:val="1"/>
      <w:numFmt w:val="decimal"/>
      <w:lvlText w:val="%7."/>
      <w:lvlJc w:val="left"/>
      <w:pPr>
        <w:ind w:left="5029" w:hanging="360"/>
      </w:pPr>
    </w:lvl>
    <w:lvl w:ilvl="7" w:tplc="D9784FA6">
      <w:start w:val="1"/>
      <w:numFmt w:val="lowerLetter"/>
      <w:lvlText w:val="%8."/>
      <w:lvlJc w:val="left"/>
      <w:pPr>
        <w:ind w:left="5749" w:hanging="360"/>
      </w:pPr>
    </w:lvl>
    <w:lvl w:ilvl="8" w:tplc="00645B3C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34D514C2"/>
    <w:multiLevelType w:val="hybridMultilevel"/>
    <w:tmpl w:val="07C69F04"/>
    <w:lvl w:ilvl="0" w:tplc="C722E7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D1A05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05A2D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DF0FE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9062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78C7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9D801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8A30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13677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7271EEE"/>
    <w:multiLevelType w:val="hybridMultilevel"/>
    <w:tmpl w:val="A4A849F8"/>
    <w:lvl w:ilvl="0" w:tplc="3484F3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5AA1A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35C7E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C84C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444FB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0AE4A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A66FC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76251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60448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4D2B3B45"/>
    <w:multiLevelType w:val="hybridMultilevel"/>
    <w:tmpl w:val="F57AEEE8"/>
    <w:lvl w:ilvl="0" w:tplc="FA9603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0C041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CB015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E2467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650EA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96C32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66294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3DE9B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5E278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5C661066"/>
    <w:multiLevelType w:val="hybridMultilevel"/>
    <w:tmpl w:val="8D2EA078"/>
    <w:lvl w:ilvl="0" w:tplc="9CC26E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9E683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7F28A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EAE1A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3404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C4E01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2A4A9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D428F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14654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B4"/>
    <w:rsid w:val="00926BFD"/>
    <w:rsid w:val="009A09B4"/>
    <w:rsid w:val="00B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KucenkoNV</dc:creator>
  <cp:lastModifiedBy>KucenkoNV</cp:lastModifiedBy>
  <cp:revision>2</cp:revision>
  <dcterms:created xsi:type="dcterms:W3CDTF">2025-10-06T10:48:00Z</dcterms:created>
  <dcterms:modified xsi:type="dcterms:W3CDTF">2025-10-06T10:48:00Z</dcterms:modified>
</cp:coreProperties>
</file>