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  <w:t xml:space="preserve">Социальная карта </w:t>
      </w:r>
      <w:r>
        <w:rPr>
          <w:rFonts w:ascii="Tinos" w:hAnsi="Tinos" w:cs="Tinos"/>
          <w:b/>
          <w:bCs/>
          <w:sz w:val="32"/>
          <w:szCs w:val="32"/>
        </w:rPr>
        <w:t xml:space="preserve">«Zа Победу!» </w:t>
      </w: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pStyle w:val="861"/>
        <w:jc w:val="center"/>
        <w:rPr>
          <w:highlight w:val="none"/>
        </w:rPr>
      </w:pPr>
      <w:r>
        <w:rPr>
          <w:rFonts w:ascii="Tinos" w:hAnsi="Tinos" w:cs="Tinos"/>
          <w:b/>
          <w:bCs/>
          <w:sz w:val="26"/>
          <w:szCs w:val="26"/>
        </w:rPr>
        <w:t xml:space="preserve">для </w:t>
      </w:r>
      <w:r>
        <w:rPr>
          <w:rFonts w:ascii="Tinos" w:hAnsi="Tinos" w:cs="Tinos"/>
          <w:b/>
          <w:bCs/>
          <w:sz w:val="26"/>
          <w:szCs w:val="26"/>
        </w:rPr>
        <w:t xml:space="preserve"> членов семей участников специальной военной операции  </w:t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714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701"/>
        <w:gridCol w:w="8895"/>
      </w:tblGrid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Постановление Правительства Самарской области  от 24.09.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2024 № 698 «Об отдельных вопросах предоставления бесплатного проезда отдельным категориям граждан и об использовании в 2024 году бюджетных ассигнований резервного фонда Правительства Самарской области на приобретение социальных карт и расходных материалов»</w:t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О карте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pStyle w:val="861"/>
              <w:jc w:val="both"/>
              <w:rPr>
                <w:rFonts w:ascii="Tinos" w:hAnsi="Tinos" w:cs="Tinos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Социальная карта - это именная пластиковая карта, которая предназначена  для реализации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бесплатного проезда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автомобильным транспортом (за  исключением такси) в городском и пригородном сообщении, городским  наземным электрическим транспортом и метрополитено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м, а также пригородным  железнодорожным транспортом в пределах территории Самарской области.</w:t>
            </w:r>
            <w:r>
              <w:rPr>
                <w:rFonts w:ascii="Tinos" w:hAnsi="Tinos" w:cs="Tinos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nos" w:hAnsi="Tinos" w:cs="Tinos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Категории держателей карты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sz w:val="26"/>
                <w:szCs w:val="26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  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Социальная  карта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6"/>
                <w:szCs w:val="26"/>
                <w:u w:val="none"/>
              </w:rPr>
              <w:t xml:space="preserve">«Zа Победу!»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предоставляется следующим членам семей участников  СВО, </w:t>
            </w:r>
            <w:r>
              <w:rPr>
                <w:rFonts w:ascii="Tinos" w:hAnsi="Tinos" w:eastAsia="Tinos" w:cs="Tinos"/>
                <w:sz w:val="26"/>
                <w:szCs w:val="26"/>
                <w:u w:val="single"/>
              </w:rPr>
              <w:t xml:space="preserve">проживающим на территории Самарской  области:</w:t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  <w:r>
              <w:rPr>
                <w:rFonts w:ascii="Tinos" w:hAnsi="Tinos" w:cs="Tinos"/>
                <w:sz w:val="26"/>
                <w:szCs w:val="26"/>
                <w:u w:val="single"/>
              </w:rPr>
            </w:r>
          </w:p>
          <w:p>
            <w:pPr>
              <w:pStyle w:val="862"/>
              <w:numPr>
                <w:ilvl w:val="0"/>
                <w:numId w:val="7"/>
              </w:numPr>
              <w:ind w:right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супругам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участников СВО;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62"/>
              <w:numPr>
                <w:ilvl w:val="0"/>
                <w:numId w:val="7"/>
              </w:numPr>
              <w:ind w:right="0"/>
              <w:jc w:val="both"/>
              <w:rPr>
                <w:rFonts w:ascii="Tinos" w:hAnsi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вдовам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(вдовцам) участников СВО, не вступившим в повторный брак;</w:t>
            </w:r>
            <w:r>
              <w:rPr>
                <w:rFonts w:ascii="Tinos" w:hAnsi="Tinos" w:cs="Tinos"/>
                <w:sz w:val="26"/>
                <w:szCs w:val="26"/>
              </w:rPr>
            </w:r>
            <w:r>
              <w:rPr>
                <w:rFonts w:ascii="Tinos" w:hAnsi="Tinos" w:cs="Tinos"/>
                <w:sz w:val="26"/>
                <w:szCs w:val="26"/>
              </w:rPr>
            </w:r>
          </w:p>
          <w:p>
            <w:pPr>
              <w:pStyle w:val="862"/>
              <w:numPr>
                <w:ilvl w:val="0"/>
                <w:numId w:val="7"/>
              </w:numPr>
              <w:ind w:right="0"/>
              <w:jc w:val="both"/>
              <w:rPr>
                <w:rFonts w:ascii="Tinos" w:hAnsi="Tinos" w:cs="Tinos"/>
                <w:sz w:val="24"/>
                <w:szCs w:val="24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none"/>
              </w:rPr>
              <w:t xml:space="preserve">детям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участников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(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погибших участников)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СВО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(включая рожденных  (усыновленных), приемных и (или) находящихся под опекой  (попечительством)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 старше семи лет и до достижения ими возраста  восемнадцати лет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 и (или) двадцати трех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лет при условии их обучения в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организации, осуществляющей образовательную деятельность, </w:t>
            </w:r>
            <w:r>
              <w:rPr>
                <w:rFonts w:ascii="Tinos" w:hAnsi="Tinos" w:eastAsia="Tinos" w:cs="Tinos"/>
                <w:sz w:val="24"/>
                <w:szCs w:val="24"/>
                <w:u w:val="single"/>
              </w:rPr>
              <w:t xml:space="preserve">по очной форме  обучения;</w:t>
            </w:r>
            <w:r>
              <w:rPr>
                <w:rFonts w:ascii="Tinos" w:hAnsi="Tinos" w:cs="Tinos"/>
                <w:sz w:val="24"/>
                <w:szCs w:val="24"/>
                <w:u w:val="single"/>
              </w:rPr>
            </w:r>
            <w:r>
              <w:rPr>
                <w:rFonts w:ascii="Tinos" w:hAnsi="Tinos" w:cs="Tinos"/>
                <w:sz w:val="24"/>
                <w:szCs w:val="24"/>
                <w:u w:val="single"/>
              </w:rPr>
            </w:r>
          </w:p>
          <w:p>
            <w:pPr>
              <w:pStyle w:val="861"/>
              <w:numPr>
                <w:ilvl w:val="0"/>
                <w:numId w:val="7"/>
              </w:num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родителям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(усыновителям)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участников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(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погибших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участников)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СВО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опекунам (попечителям), приемным родителям, патронатным воспитателям, которые осуществляли свои полномочия в отношении участника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СВО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до достижения им совершенно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летия, а также лицам, признанным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судом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фактически воспитывавшими и содержавшими участника СВО не менее пяти лет до достижения им совершеннолетия.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При наличии у членов семей участников СВО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одновременно права на бесплатный (льготный) проезд по иным основаниям, предусмотренным действующим законодательством, социальная карта и (или)  льготный (бесплатный) проезд предоставляется по одному из указанных оснований по их выбору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.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  <w:tr>
        <w:tblPrEx/>
        <w:trPr>
          <w:trHeight w:val="229"/>
        </w:trPr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Лично, либо через социальный портал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c  сайта министерства выбрав блок «Подача заявлений» в блоке «Прочие»  выбрав  строку «прочие» в блоке «Услуга» выбрав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  «Предоставление социальной карты для отдельных категорий граждан на территории Самарской области»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Необходи-мые документы (сведения) в зависимости  от жизненной ситуации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7 рабочих дней со дня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 *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а)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документ, удостоверяющий личность заявителя (законного  представителя, опекуна (попечителя), в том числе ребенка, достигшего  четырнадцати лет;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б) документ (сведения) о рождении ребенка, в том числе для ребенка  старше четырнадцати лет. Документы (сведения) компетентного органа  иностранного государства должны быть легализованы в порядке,  установленном законодательством РФ,если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иное не  предусмотрено международным договором РФ;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в)сведения (информация) об установлении над ребенком опеки (попечительства), о передаче ребенка на воспитание в приемную семью;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г) сведения (документы) о регистрации по месту жительства  (пребывания) заявителя (законного представителя, опекуна (попечителя), а также участника  СВО.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В случае отсутствия регистраци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и по месту  жительства или пребывания на территории Самарской области представляются иные документы, подтверждающие факт  пребывания на территории Самарской обла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сти: решение суда об установлении  факта проживания на территории Самарской области, договор найма жилого  помещения, договор безвозмездного пользования жилым помещением,  заключенные в соответствии с нормами действующего законодательства;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>
              <w:rPr>
                <w:rFonts w:ascii="Tinos" w:hAnsi="Tinos" w:eastAsia="Tinos" w:cs="Tinos"/>
                <w:sz w:val="26"/>
                <w:szCs w:val="26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6"/>
                <w:szCs w:val="26"/>
              </w:rPr>
              <w:t xml:space="preserve">     </w:t>
            </w:r>
            <w:r>
              <w:rPr>
                <w:rFonts w:ascii="Tinos" w:hAnsi="Tinos" w:eastAsia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д) сведения (документы) о заключении (расторжении) брака;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*е)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о гибели участника СВО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(извещение о гибели, смерти (пропаже без вести), выписка из приказа командира воинской части об исключении из списка части в связи с гибелью, смертью (пропажей без вести) при выполнении задач в ход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е СВО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 другие документы (при наличии);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ж)сведения (документы) об обучении ребенка (детей) старше  восемнадцати лет при условии его (их) обучения в профессиональной  образовательной организации либо в образовательной организации высшего  образования, осуществляющей образовательную деятельность,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по очной форме  обучения, но не более чем до достижения им (ими) возраста двадцати трех  ле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т (ежегодно в срок до 1 сентября предоставляются или запрашиваются сведения о дальнейшем очном обучении)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*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з)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сведения (справка), подтверждающие факт участия военнослужащего в выполнении задач в ходе СВО  (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справка из воинской части, выписка из приказа по личному составу, выписка из приказа по строевой части, сведения о мобилизации, справка (сведения) из Национального центра управления обороной РФ и другие документы (при наличии)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и) сведения об отсутствии факта лишения родительских прав или  ограничения родительских прав участника СВО в  отношении ребенка (детей), подавшего(их) заявление о предоставлении  социальной карты;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к) сведения об отсутствии факта нахождения ребенка (детей) на полном  государственном обеспечении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  <w:t xml:space="preserve">      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м)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документы (сведения) о рождении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участни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ка СВО (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для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заявителей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являющихся родителями участника СВО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н)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(сведения) о смене имени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фамилии, отчества участника СВО и (или) члена его семьи;</w:t>
            </w:r>
            <w:r>
              <w:rPr>
                <w:rFonts w:ascii="Tinos" w:hAnsi="Tinos" w:cs="Tinos"/>
                <w:szCs w:val="28"/>
              </w:rPr>
            </w:r>
            <w:r>
              <w:rPr>
                <w:rFonts w:ascii="Tinos" w:hAnsi="Tinos" w:cs="Tinos"/>
                <w:szCs w:val="28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*о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решение суда о признании лица фактически воспитывавшим и содержавшим участника СВО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(для заявителей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признанных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судом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фактически воспитывавшими и содержавшими участника СВО не менее пяти лет до достижения им совершеннолетия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szCs w:val="28"/>
              </w:rPr>
            </w:r>
            <w:r>
              <w:rPr>
                <w:rFonts w:ascii="Tinos" w:hAnsi="Tinos" w:cs="Tinos"/>
                <w:szCs w:val="28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п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документы (сведения)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органа опеки и попечительства,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подтверждающие установление опеки (попечительства)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 отношении участника СВО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передачи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его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в приемную семью, назначение патронатного воспитателя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до достижения им совершеннолетия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Cs w:val="28"/>
              </w:rPr>
            </w:r>
            <w:r>
              <w:rPr>
                <w:rFonts w:ascii="Tinos" w:hAnsi="Tinos" w:cs="Tinos"/>
                <w:szCs w:val="28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  р) сведения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об установлении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участнику СВО инвалидности первой группы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вследствие военной травмы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Cs w:val="28"/>
              </w:rPr>
            </w:r>
            <w:r>
              <w:rPr>
                <w:rFonts w:ascii="Tinos" w:hAnsi="Tinos" w:cs="Tinos"/>
                <w:szCs w:val="28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 *с)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заключение военно-врачебные комиссии о наличии причинно-следственной связи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полученного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увечь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(ранени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травм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ы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, контузи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), заболевани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я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 с выполнением задач в ходе СВО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;</w:t>
            </w:r>
            <w:r>
              <w:rPr>
                <w:rFonts w:ascii="Tinos" w:hAnsi="Tinos" w:cs="Tinos"/>
                <w:szCs w:val="28"/>
              </w:rPr>
            </w:r>
            <w:r>
              <w:rPr>
                <w:rFonts w:ascii="Tinos" w:hAnsi="Tinos" w:cs="Tinos"/>
                <w:szCs w:val="28"/>
              </w:rPr>
            </w:r>
          </w:p>
          <w:p>
            <w:pPr>
              <w:pStyle w:val="861"/>
              <w:jc w:val="both"/>
              <w:rPr>
                <w:rFonts w:ascii="Tinos" w:hAnsi="Tinos" w:cs="Tinos"/>
                <w:szCs w:val="28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  <w:t xml:space="preserve">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*т)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решение суда о подтверждении (установления) факта родства, свойства;</w:t>
            </w:r>
            <w:r>
              <w:rPr>
                <w:rFonts w:ascii="Tinos" w:hAnsi="Tinos" w:cs="Tinos"/>
                <w:szCs w:val="28"/>
              </w:rPr>
            </w:r>
            <w:r>
              <w:rPr>
                <w:rFonts w:ascii="Tinos" w:hAnsi="Tinos" w:cs="Tinos"/>
                <w:szCs w:val="28"/>
              </w:rPr>
            </w:r>
          </w:p>
          <w:p>
            <w:pPr>
              <w:ind w:left="0" w:right="0" w:firstLine="0"/>
              <w:jc w:val="both"/>
              <w:rPr>
                <w:rFonts w:ascii="Tinos" w:hAnsi="Tinos" w:eastAsia="Tinos" w:cs="Tinos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4"/>
                <w:szCs w:val="24"/>
              </w:rPr>
              <w:t xml:space="preserve">*л) </w:t>
            </w:r>
            <w:r>
              <w:rPr>
                <w:rFonts w:ascii="Tinos" w:hAnsi="Tinos" w:eastAsia="Tinos" w:cs="Tinos"/>
                <w:sz w:val="24"/>
                <w:szCs w:val="24"/>
              </w:rPr>
              <w:t xml:space="preserve">фотография держателя социальной карты.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sz w:val="24"/>
                <w:szCs w:val="24"/>
                <w:highlight w:val="none"/>
              </w:rPr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Фотография должна соответствовать следующим требованиям: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-цветная фотография держателя социальной карты на светлом фоне, без  ретуши, яркого контрового и бокового света, теней, животных, посторонних  лиц и предметов;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-разрешение фотографии не менее 600 dpi;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-размер изображения овала лица не менее 70 процентов вертикального размера снимка;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-изображение лица на фотографии должно быть в фокусе от кончика подбородка до линии волос и от носа до ушей;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-заявитель изображается строго анфас и смотрящим прямо с нейтральным  выражением и закрытым ртом, глаза должны быть открыты, а волосы не  должны заслонять их;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-изображение лица без головного убора;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  <w:p>
            <w:pPr>
              <w:ind w:left="0" w:right="0" w:firstLine="0"/>
              <w:jc w:val="both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</w:rPr>
              <w:t xml:space="preserve">-изображение лица без очков (допускается фотография держателя  социальной карты в очках в отношении лиц, постоянно носящих очки, на  фотографии должны быть отчетливо видны глаза).</w:t>
            </w:r>
            <w:r>
              <w:rPr>
                <w:rFonts w:ascii="Tinos" w:hAnsi="Tinos" w:cs="Tinos"/>
              </w:rPr>
            </w:r>
            <w:r>
              <w:rPr>
                <w:rFonts w:ascii="Tinos" w:hAnsi="Tinos" w:cs="Tinos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выдачи карты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10 рабочих дней с даты приема заявления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с. Большая Глушица, ул. Гагарина, д.27, каб.7,15, тел. 8(846 73)  2-13-07, 2-13-08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709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table" w:styleId="8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0" w:default="1">
    <w:name w:val="No List"/>
    <w:uiPriority w:val="99"/>
    <w:semiHidden/>
    <w:unhideWhenUsed/>
  </w:style>
  <w:style w:type="paragraph" w:styleId="861">
    <w:name w:val="No Spacing"/>
    <w:basedOn w:val="858"/>
    <w:uiPriority w:val="1"/>
    <w:qFormat/>
    <w:pPr>
      <w:spacing w:after="0" w:line="240" w:lineRule="auto"/>
    </w:pPr>
  </w:style>
  <w:style w:type="paragraph" w:styleId="862">
    <w:name w:val="List Paragraph"/>
    <w:basedOn w:val="858"/>
    <w:uiPriority w:val="34"/>
    <w:qFormat/>
    <w:pPr>
      <w:contextualSpacing/>
      <w:ind w:left="720"/>
    </w:pPr>
  </w:style>
  <w:style w:type="character" w:styleId="863" w:default="1">
    <w:name w:val="Default Paragraph Font"/>
    <w:uiPriority w:val="1"/>
    <w:semiHidden/>
    <w:unhideWhenUsed/>
  </w:style>
  <w:style w:type="paragraph" w:styleId="86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2025-02-10T10:11:00Z</dcterms:modified>
</cp:coreProperties>
</file>