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nos" w:hAnsi="Tinos" w:cs="Tinos"/>
          <w:b/>
          <w:bCs/>
          <w:sz w:val="32"/>
          <w:szCs w:val="32"/>
          <w:highlight w:val="none"/>
        </w:rPr>
      </w:pPr>
      <w:r>
        <w:rPr>
          <w:rFonts w:ascii="Tinos" w:hAnsi="Tinos" w:cs="Tinos"/>
          <w:b/>
          <w:bCs/>
          <w:sz w:val="32"/>
          <w:szCs w:val="32"/>
        </w:rPr>
        <w:t xml:space="preserve">Ежемесячная доплата за ребенком-инвалидом</w:t>
      </w:r>
      <w:r>
        <w:rPr>
          <w:rFonts w:ascii="Tinos" w:hAnsi="Tinos" w:cs="Tinos"/>
          <w:b/>
          <w:bCs/>
          <w:sz w:val="32"/>
          <w:szCs w:val="32"/>
          <w:highlight w:val="none"/>
        </w:rPr>
      </w:r>
      <w:r>
        <w:rPr>
          <w:rFonts w:ascii="Tinos" w:hAnsi="Tinos" w:cs="Tinos"/>
          <w:b/>
          <w:bCs/>
          <w:sz w:val="32"/>
          <w:szCs w:val="32"/>
          <w:highlight w:val="none"/>
        </w:rPr>
      </w:r>
    </w:p>
    <w:tbl>
      <w:tblPr>
        <w:tblStyle w:val="710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 Закон Самарской области от 02.07.2004 № 122-ГД «О государственной поддержке граждан, имеющих детей»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57"/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/>
                <w:sz w:val="26"/>
                <w:szCs w:val="26"/>
                <w:highlight w:val="none"/>
              </w:rPr>
              <w:t xml:space="preserve">      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Действие настоящего Закона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распространяется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на граждан РФ, иностранных граждан и лиц без гражданства, имеющих место  жительства или пребывания на территории Самарской области.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57"/>
              <w:jc w:val="both"/>
              <w:rPr>
                <w:rFonts w:ascii="Tinos" w:hAnsi="Tinos" w:cs="Tinos"/>
                <w:sz w:val="26"/>
                <w:szCs w:val="26"/>
                <w:u w:val="single"/>
              </w:rP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 Действие настоящего Закона н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  <w:u w:val="single"/>
              </w:rPr>
              <w:t xml:space="preserve">е распространяется:</w:t>
            </w:r>
            <w:r>
              <w:rPr>
                <w:rFonts w:ascii="Tinos" w:hAnsi="Tinos" w:cs="Tinos"/>
                <w:sz w:val="26"/>
                <w:szCs w:val="26"/>
                <w:u w:val="single"/>
              </w:rPr>
            </w:r>
            <w:r>
              <w:rPr>
                <w:rFonts w:ascii="Tinos" w:hAnsi="Tinos" w:cs="Tinos"/>
                <w:sz w:val="26"/>
                <w:szCs w:val="26"/>
                <w:u w:val="single"/>
              </w:rPr>
            </w:r>
          </w:p>
          <w:p>
            <w:pPr>
              <w:pStyle w:val="857"/>
              <w:numPr>
                <w:ilvl w:val="0"/>
                <w:numId w:val="7"/>
              </w:numPr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на граждан РФ, иностранных граждан и лиц без гражданства, дети которых находятся на полном государственном обеспечении;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pStyle w:val="857"/>
              <w:numPr>
                <w:ilvl w:val="0"/>
                <w:numId w:val="7"/>
              </w:numPr>
              <w:jc w:val="both"/>
              <w:rPr>
                <w:rFonts w:ascii="Tinos" w:hAnsi="Tinos" w:eastAsia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на граждан РФ, иностранных граждан и лиц без  гражданства, лишенных родительских прав либо родительские права которых  ограничены по решению суда.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</w:r>
          </w:p>
          <w:p>
            <w:pPr>
              <w:pStyle w:val="857"/>
              <w:ind w:left="0" w:firstLine="0"/>
              <w:jc w:val="both"/>
              <w:rPr>
                <w:rFonts w:ascii="Tinos" w:hAnsi="Tinos" w:eastAsia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Размер доплаты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60"/>
              <w:ind w:firstLine="540"/>
              <w:jc w:val="center"/>
              <w:spacing w:before="0" w:beforeAutospacing="0"/>
              <w:rPr>
                <w:rFonts w:ascii="Tinos" w:hAnsi="Tinos" w:cs="Tinos"/>
                <w:b/>
                <w:bCs/>
                <w:sz w:val="28"/>
                <w:szCs w:val="28"/>
                <w:u w:val="none"/>
              </w:rPr>
            </w:pP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  <w:t xml:space="preserve">Размер доплаты  составляет  1000 рублей. </w:t>
            </w:r>
            <w:r>
              <w:rPr>
                <w:rFonts w:ascii="Tinos" w:hAnsi="Tinos" w:cs="Tinos"/>
                <w:b/>
                <w:bCs/>
                <w:sz w:val="28"/>
                <w:szCs w:val="28"/>
                <w:u w:val="none"/>
              </w:rPr>
            </w:r>
            <w:r>
              <w:rPr>
                <w:rFonts w:ascii="Tinos" w:hAnsi="Tinos" w:cs="Tinos"/>
                <w:b/>
                <w:bCs/>
                <w:sz w:val="28"/>
                <w:szCs w:val="28"/>
                <w:u w:val="none"/>
              </w:rPr>
            </w:r>
          </w:p>
          <w:p>
            <w:pPr>
              <w:jc w:val="center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Условия получения доплаты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cs="Tinos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Право на ежемесячную доплату по уходу за ребенком-инвалидом имеет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неработающий трудоспособный родитель, осуществляющий уход за ребенком-инвалидом в возрасте до 18 лет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которому установлена ежемесячная выплата в соответствии с </w:t>
            </w:r>
            <w:hyperlink r:id="rId10" w:tooltip="https://docs.cntd.ru/document/499003583#7D20K3" w:history="1">
              <w:r>
                <w:rPr>
                  <w:rStyle w:val="836"/>
                  <w:rFonts w:ascii="Times New Roman" w:hAnsi="Times New Roman" w:eastAsia="Times New Roman" w:cs="Times New Roman"/>
                  <w:b/>
                  <w:bCs/>
                  <w:color w:val="000000" w:themeColor="text1"/>
                  <w:sz w:val="26"/>
                  <w:szCs w:val="26"/>
                  <w:u w:val="single"/>
                </w:rPr>
                <w:t xml:space="preserve">Указом Президента Российской Федерации от 26 февраля 2013 года N 175 </w:t>
              </w:r>
              <w:r>
                <w:rPr>
                  <w:rStyle w:val="836"/>
                  <w:rFonts w:ascii="Times New Roman" w:hAnsi="Times New Roman" w:eastAsia="Times New Roman" w:cs="Times New Roman"/>
                  <w:color w:val="000000" w:themeColor="text1"/>
                  <w:sz w:val="26"/>
                  <w:szCs w:val="26"/>
                  <w:u w:val="single"/>
                </w:rPr>
                <w:t xml:space="preserve">"О ежемесячных выплатах лицам, осуществляющим уход за детьми-инвалидами и инвалидами с детства I группы"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, в семьях со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среднедушевым доходом, размер которого не превышает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величины прожиточного минимума в расчете на душу населения, установленной Правительством Самарской области на дату обращения за назначением   доплаты -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16669 руб.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Ежемесячная доплата по уходу за ребенком-инвалидом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назначается с месяца обращения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(но не ранее дня возникновения права)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на период получения ежемесячной выплаты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в соответствии 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u w:val="none"/>
              </w:rPr>
              <w:t xml:space="preserve"> </w:t>
            </w:r>
            <w:hyperlink r:id="rId11" w:tooltip="https://docs.cntd.ru/document/499003583#7D20K3" w:history="1">
              <w:r>
                <w:rPr>
                  <w:rStyle w:val="836"/>
                  <w:rFonts w:ascii="Times New Roman" w:hAnsi="Times New Roman" w:eastAsia="Times New Roman" w:cs="Times New Roman"/>
                  <w:color w:val="000000" w:themeColor="text1"/>
                  <w:sz w:val="26"/>
                  <w:szCs w:val="26"/>
                  <w:u w:val="none"/>
                </w:rPr>
                <w:t xml:space="preserve">Указом Президента РФ от 26.02.2013 N 175,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u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но не более чем по месяц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исполнения ребенку-инвалиду 18 лет.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rPr>
                <w:rFonts w:ascii="Tinos" w:hAnsi="Tinos" w:cs="Tinos"/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     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Получатель ежемесячной доплаты по уходу за ребенком-инвалидом обязан в течение 10 дней сообщить   органу, осуществляющему социальную поддержку населения, по месту жительства (пребывания) о наступлении обстоятельств, влекущих пр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екращение ежемесячной выплаты в соответствии с </w:t>
            </w:r>
            <w:hyperlink r:id="rId12" w:tooltip="https://docs.cntd.ru/document/499003583#7D20K3" w:history="1">
              <w:r>
                <w:rPr>
                  <w:rStyle w:val="836"/>
                  <w:rFonts w:ascii="Tinos" w:hAnsi="Tinos" w:eastAsia="Tinos" w:cs="Tinos"/>
                  <w:color w:val="000000" w:themeColor="text1"/>
                  <w:sz w:val="26"/>
                  <w:szCs w:val="26"/>
                  <w:u w:val="none"/>
                </w:rPr>
                <w:t xml:space="preserve">Указом Президента РФ от 26.02.2013  N 175 </w:t>
              </w:r>
              <w:r>
                <w:rPr>
                  <w:rStyle w:val="836"/>
                  <w:rFonts w:ascii="Tinos" w:hAnsi="Tinos" w:eastAsia="Tinos" w:cs="Tinos"/>
                  <w:color w:val="000000" w:themeColor="text1"/>
                  <w:sz w:val="26"/>
                  <w:szCs w:val="26"/>
                  <w:u w:val="single"/>
                </w:rPr>
                <w:t xml:space="preserve">. 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229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Лично,  через МФЦ,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через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Единый портал государственных и муниципальных услуг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Необходимые документы (сведения)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Сведения со знаком «*» заявитель предоставляет самостоятельно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в течение 10 рабочих дней со дня регистрации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</w:rPr>
              <w:t xml:space="preserve"> *1)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документ, удостоверяющий личность заявителя (с отметкой о выдаче вида на жительство - для иностранных граждан и лиц без гражданства), осуществляющего уход;</w:t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</w:rPr>
              <w:t xml:space="preserve">  *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</w:rPr>
              <w:t xml:space="preserve">2)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заявление;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      3) информация о получении ежемесячной выплаты в соответствии с </w:t>
            </w:r>
            <w:hyperlink r:id="rId13" w:tooltip="https://docs.cntd.ru/document/499003583#7D20K3" w:history="1">
              <w:r>
                <w:rPr>
                  <w:rStyle w:val="836"/>
                  <w:rFonts w:ascii="Tinos" w:hAnsi="Tinos" w:eastAsia="Tinos" w:cs="Tinos"/>
                  <w:color w:val="000000" w:themeColor="text1"/>
                  <w:sz w:val="26"/>
                  <w:szCs w:val="26"/>
                  <w:u w:val="none"/>
                </w:rPr>
                <w:t xml:space="preserve">Указом Президента РФ от 26.02.2013 N 175  </w:t>
              </w:r>
            </w:hyperlink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с указанием фамилии, имени, отчества лица, осуществляющего уход за ребенком-инвалидом, и периода, на который она назначена;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</w:rPr>
              <w:t xml:space="preserve">   *4)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документы (сведения) о рождении ребенка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компетентного органа  иностранного государства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;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  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5) сведения об установлении инвалидности ребенку;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    6) информация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о доходах семьи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за последние 12 календарных месяцев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предшествовавших месяцу перед месяцем обращения за назначением   доплаты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;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      7) сведения МВД России о регистрации по месту пребывания на территории Самарской области - при подаче заявления по месту пребывания.</w:t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   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</w:rPr>
              <w:t xml:space="preserve"> *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В случае отсутствия регистрации по месту пребывания на территории Самарской области заявителя и его детей заявитель предста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вляет иные документы, подтверждающие факт пребывания на территории Самарской области: решение суда об установлении факта проживания на территории Самарской области, договор найма жилого помещения, заключенный в соответствии с нормами действующего законодат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ельства;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   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8) информация органа, осуществляющего социальную поддержку населения по месту постоянного проживания заявителя, о неполучении им доплаты по уходу за ребенком-инвалидом (в случае подачи заявления в орган, осуществляющий социальную поддержку населения по мес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ту пребывания, и при наличии у заявителя места постоянного проживания за пределами Самарской области) или соответствующие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u w:val="single"/>
              </w:rPr>
              <w:t xml:space="preserve">сведения из единой цифровой платформы;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     9) сведения   об отсутствии факта лишения (ограничения) родительских прав, отобрания ребенка при непосредственной угрозе его жизни или здоровью;</w:t>
              <w:br/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 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  *10)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 Реквизиты счета получателя выплаты, открытого в кредитной организации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(при условии выбора способа получения выплаты через кредитную организацию)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.</w:t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Срок принятия решения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0 рабочих дней со дня регистрации заявления, срок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продлевается на 20 рабочих дней в случае непоступления документов  (сведений), запрашиваемых в рамках межведомственного взаимодействия.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по адресу: 4460180, Самарская область, Большеглушицкий район,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с. Большая Глушица, ул. Гагарина, д.27, каб. 7, 15, тел. 8(846 73)  2-13-08, 2-13-07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992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No Spacing"/>
    <w:basedOn w:val="854"/>
    <w:uiPriority w:val="1"/>
    <w:qFormat/>
    <w:pPr>
      <w:spacing w:after="0" w:line="240" w:lineRule="auto"/>
    </w:pPr>
  </w:style>
  <w:style w:type="paragraph" w:styleId="858">
    <w:name w:val="List Paragraph"/>
    <w:basedOn w:val="854"/>
    <w:uiPriority w:val="34"/>
    <w:qFormat/>
    <w:pPr>
      <w:contextualSpacing/>
      <w:ind w:left="720"/>
    </w:pPr>
  </w:style>
  <w:style w:type="character" w:styleId="859" w:default="1">
    <w:name w:val="Default Paragraph Font"/>
    <w:uiPriority w:val="1"/>
    <w:semiHidden/>
    <w:unhideWhenUsed/>
  </w:style>
  <w:style w:type="paragraph" w:styleId="86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docs.cntd.ru/document/499003583#7D20K3" TargetMode="External"/><Relationship Id="rId11" Type="http://schemas.openxmlformats.org/officeDocument/2006/relationships/hyperlink" Target="https://docs.cntd.ru/document/499003583#7D20K3" TargetMode="External"/><Relationship Id="rId12" Type="http://schemas.openxmlformats.org/officeDocument/2006/relationships/hyperlink" Target="https://docs.cntd.ru/document/499003583#7D20K3" TargetMode="External"/><Relationship Id="rId13" Type="http://schemas.openxmlformats.org/officeDocument/2006/relationships/hyperlink" Target="https://docs.cntd.ru/document/499003583#7D20K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2025-02-10T10:08:29Z</dcterms:modified>
</cp:coreProperties>
</file>