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u w:val="single"/>
        </w:rPr>
      </w:pPr>
      <w:r>
        <w:rPr>
          <w:highlight w:val="none"/>
          <w:u w:val="single"/>
        </w:rPr>
      </w:r>
      <w:r>
        <w:rPr>
          <w:highlight w:val="none"/>
          <w:u w:val="single"/>
        </w:rPr>
      </w:r>
      <w:r/>
    </w:p>
    <w:p>
      <w:pPr>
        <w:pStyle w:val="820"/>
        <w:jc w:val="center"/>
        <w:rPr>
          <w:highlight w:val="none"/>
          <w:u w:val="single"/>
        </w:rPr>
      </w:pPr>
      <w:r>
        <w:rPr>
          <w:u w:val="single"/>
        </w:rPr>
        <w:t xml:space="preserve">Закон</w:t>
      </w:r>
      <w:r>
        <w:rPr>
          <w:u w:val="single"/>
        </w:rPr>
        <w:t xml:space="preserve">ом </w:t>
      </w:r>
      <w:r>
        <w:rPr>
          <w:u w:val="single"/>
        </w:rPr>
        <w:t xml:space="preserve"> Самарской области от 26.12.2016  № 143-ГД «О мерах социальной поддержки по оплате жилого помещения и коммунальных услуг, предоставляемых отдельным категориям граждан, проживающих в Самарской области»</w:t>
      </w:r>
      <w:r/>
    </w:p>
    <w:p>
      <w:pPr>
        <w:pStyle w:val="820"/>
        <w:jc w:val="center"/>
      </w:pPr>
      <w:r>
        <w:t xml:space="preserve">предусмотрена </w:t>
      </w:r>
      <w:r>
        <w:rPr>
          <w:b/>
        </w:rPr>
        <w:t xml:space="preserve">компенсация расходов на оплату жилого помещения и коммунальных услуг</w:t>
      </w:r>
      <w:r>
        <w:rPr>
          <w:b/>
        </w:rPr>
        <w:t xml:space="preserve">    </w:t>
      </w:r>
      <w:r>
        <w:t xml:space="preserve"> </w:t>
      </w:r>
      <w:r>
        <w:t xml:space="preserve">(далее </w:t>
      </w:r>
      <w:r>
        <w:t xml:space="preserve">- компенсация</w:t>
      </w:r>
      <w:r>
        <w:t xml:space="preserve">) </w:t>
      </w:r>
      <w:r>
        <w:t xml:space="preserve">для:</w:t>
      </w:r>
      <w:r/>
    </w:p>
    <w:p>
      <w:pPr>
        <w:pStyle w:val="820"/>
        <w:jc w:val="both"/>
      </w:pPr>
      <w:r>
        <w:rPr>
          <w:b/>
          <w:bCs/>
        </w:rPr>
        <w:t xml:space="preserve">         1.</w:t>
      </w:r>
      <w:r>
        <w:t xml:space="preserve">  </w:t>
      </w:r>
      <w:r>
        <w:rPr>
          <w:b/>
          <w:bCs/>
        </w:rPr>
        <w:t xml:space="preserve">федеральных льготников</w:t>
      </w:r>
      <w:r>
        <w:t xml:space="preserve"> (инвалиды и участники В</w:t>
      </w:r>
      <w:r>
        <w:t xml:space="preserve">еликой Отечественной в</w:t>
      </w:r>
      <w:r>
        <w:t xml:space="preserve">о</w:t>
      </w:r>
      <w:r>
        <w:t xml:space="preserve">йны</w:t>
      </w:r>
      <w:r>
        <w:t xml:space="preserve">,</w:t>
      </w:r>
      <w:r>
        <w:t xml:space="preserve"> члены семей погибших (умерших) инвалидов войны, </w:t>
      </w:r>
      <w:r>
        <w:t xml:space="preserve"> </w:t>
      </w:r>
      <w:r>
        <w:t xml:space="preserve">инвалиды и </w:t>
      </w:r>
      <w:r>
        <w:t xml:space="preserve"> </w:t>
      </w:r>
      <w:r>
        <w:t xml:space="preserve">семьи, имеющие   детей-инвалидов,  </w:t>
      </w:r>
      <w:r>
        <w:t xml:space="preserve">ветераны боевых действий, </w:t>
      </w:r>
      <w:r>
        <w:t xml:space="preserve"> </w:t>
      </w:r>
      <w:r>
        <w:t xml:space="preserve"> инвалиды и участники ликвидации ЧАЭС и другие);</w:t>
      </w:r>
      <w:r/>
    </w:p>
    <w:p>
      <w:pPr>
        <w:pStyle w:val="820"/>
        <w:jc w:val="both"/>
      </w:pPr>
      <w:r>
        <w:rPr>
          <w:b/>
          <w:bCs/>
        </w:rPr>
        <w:t xml:space="preserve">         2. региональных льготников</w:t>
      </w:r>
      <w:r>
        <w:t xml:space="preserve"> (ветераны труда РФ, </w:t>
      </w:r>
      <w:r>
        <w:t xml:space="preserve">труженики тыла, </w:t>
      </w:r>
      <w:r>
        <w:rPr>
          <w:color w:val="000000" w:themeColor="text1"/>
        </w:rPr>
        <w:t xml:space="preserve">многодетные семьи,</w:t>
      </w:r>
      <w:r>
        <w:rPr>
          <w:color w:val="000000" w:themeColor="text1"/>
        </w:rPr>
        <w:t xml:space="preserve"> </w:t>
      </w:r>
      <w:r>
        <w:rPr>
          <w:color w:val="000000" w:themeColor="text1"/>
        </w:rPr>
        <w:t xml:space="preserve"> </w:t>
      </w:r>
      <w:r>
        <w:rPr>
          <w:color w:val="000000" w:themeColor="text1"/>
        </w:rPr>
        <w:t xml:space="preserve"> </w:t>
      </w:r>
      <w:r>
        <w:t xml:space="preserve">реабилитированные</w:t>
      </w:r>
      <w:r>
        <w:t xml:space="preserve">, пострадавшие от политических репрессий</w:t>
      </w:r>
      <w:r>
        <w:t xml:space="preserve">);</w:t>
      </w:r>
      <w:r/>
    </w:p>
    <w:p>
      <w:pPr>
        <w:pStyle w:val="820"/>
        <w:jc w:val="both"/>
      </w:pPr>
      <w:r>
        <w:rPr>
          <w:b/>
          <w:bCs/>
        </w:rPr>
        <w:t xml:space="preserve">        3</w:t>
      </w:r>
      <w:r>
        <w:t xml:space="preserve">.</w:t>
      </w:r>
      <w:r>
        <w:rPr>
          <w:b/>
          <w:bCs/>
        </w:rPr>
        <w:t xml:space="preserve"> </w:t>
      </w:r>
      <w:bookmarkStart w:id="0" w:name="_Hlk61343632"/>
      <w:r>
        <w:rPr>
          <w:b/>
          <w:bCs/>
        </w:rPr>
        <w:t xml:space="preserve">специалистов, проживающих и работающих в сельской местности</w:t>
      </w:r>
      <w:r>
        <w:t xml:space="preserve"> </w:t>
      </w:r>
      <w:bookmarkEnd w:id="0"/>
      <w:r>
        <w:t xml:space="preserve">(педагогические работники, работники культуры, медицинские и фармацевтические работники, социальные работники, специалисты Государственной вет</w:t>
      </w:r>
      <w:r>
        <w:t xml:space="preserve">еринарной </w:t>
      </w:r>
      <w:r>
        <w:t xml:space="preserve">службы</w:t>
      </w:r>
      <w:r>
        <w:t xml:space="preserve"> </w:t>
      </w:r>
      <w:r>
        <w:t xml:space="preserve">РФ).</w:t>
      </w:r>
      <w:r/>
    </w:p>
    <w:p>
      <w:pPr>
        <w:pStyle w:val="820"/>
        <w:ind w:firstLine="709"/>
        <w:jc w:val="both"/>
        <w:rPr>
          <w:u w:val="single"/>
        </w:rPr>
      </w:pPr>
      <w:r>
        <w:t xml:space="preserve">В соответствии с </w:t>
      </w:r>
      <w:r>
        <w:rPr>
          <w:u w:val="single"/>
        </w:rPr>
        <w:t xml:space="preserve">п</w:t>
      </w:r>
      <w:r>
        <w:rPr>
          <w:u w:val="single"/>
        </w:rPr>
        <w:t xml:space="preserve">остановлением Правительства Самарской области от 12.01.2017 №7 «О предоставлении мер социальной поддержки по оплате жилого помещения и коммунальных услуг отдельным категориям граждан, проживающих в Самарской области»</w:t>
      </w:r>
      <w:r>
        <w:rPr>
          <w:u w:val="single"/>
        </w:rPr>
      </w:r>
      <w:r/>
    </w:p>
    <w:p>
      <w:pPr>
        <w:pStyle w:val="820"/>
        <w:ind w:firstLine="709"/>
        <w:jc w:val="both"/>
      </w:pPr>
      <w:r>
        <w:t xml:space="preserve">к</w:t>
      </w:r>
      <w:r>
        <w:t xml:space="preserve">омпенсацию </w:t>
      </w:r>
      <w:r>
        <w:t xml:space="preserve"> </w:t>
      </w:r>
      <w:r>
        <w:t xml:space="preserve"> </w:t>
      </w:r>
      <w:r>
        <w:t xml:space="preserve">рассчитывает </w:t>
      </w:r>
      <w:r>
        <w:rPr>
          <w:color w:val="ff0000"/>
        </w:rPr>
        <w:t xml:space="preserve"> </w:t>
      </w:r>
      <w:r>
        <w:t xml:space="preserve"> ГКУ СО «Региональный центр обеспечения социальной поддержки населения» на основании    сведений, полученных от поставщиков жилищно-коммунальных услуг.</w:t>
      </w:r>
      <w:r>
        <w:t xml:space="preserve"> </w:t>
      </w:r>
      <w:r/>
    </w:p>
    <w:p>
      <w:pPr>
        <w:pStyle w:val="820"/>
        <w:ind w:firstLine="709"/>
        <w:jc w:val="both"/>
      </w:pPr>
      <w:r>
        <w:t xml:space="preserve"> Расчет компенсации </w:t>
      </w:r>
      <w:r>
        <w:t xml:space="preserve">  </w:t>
      </w:r>
      <w:r>
        <w:t xml:space="preserve">осуществляется от </w:t>
      </w:r>
      <w:r>
        <w:t xml:space="preserve"> </w:t>
      </w:r>
      <w:r>
        <w:t xml:space="preserve">оплаты</w:t>
      </w:r>
      <w:r>
        <w:t xml:space="preserve">  за ЖКУ</w:t>
      </w:r>
      <w:r>
        <w:t xml:space="preserve">, </w:t>
      </w:r>
      <w:r>
        <w:t xml:space="preserve"> в соответствующем  размере </w:t>
      </w:r>
      <w:r>
        <w:t xml:space="preserve">(%)</w:t>
      </w:r>
      <w:r>
        <w:t xml:space="preserve">  для каждой категории льготополучателей.</w:t>
      </w:r>
      <w:r>
        <w:rPr>
          <w:color w:val="0070c0"/>
        </w:rPr>
        <w:t xml:space="preserve"> </w:t>
      </w:r>
      <w:r>
        <w:t xml:space="preserve"> </w:t>
      </w:r>
      <w:r>
        <w:t xml:space="preserve"> </w:t>
      </w:r>
      <w:r>
        <w:t xml:space="preserve">Размер компенсации</w:t>
      </w:r>
      <w:r>
        <w:rPr>
          <w:color w:val="0070c0"/>
        </w:rPr>
        <w:t xml:space="preserve">  </w:t>
      </w:r>
      <w:r>
        <w:t xml:space="preserve">  </w:t>
      </w:r>
      <w:r>
        <w:t xml:space="preserve">ограничивается нормативом потребления коммунальных услуг</w:t>
      </w:r>
      <w:r>
        <w:t xml:space="preserve">.</w:t>
      </w:r>
      <w:r/>
    </w:p>
    <w:p>
      <w:pPr>
        <w:pStyle w:val="820"/>
        <w:ind w:firstLine="540"/>
        <w:jc w:val="both"/>
      </w:pPr>
      <w:r>
        <w:t xml:space="preserve"> </w:t>
      </w:r>
      <w:r>
        <w:t xml:space="preserve">Компенсация</w:t>
      </w:r>
      <w:r>
        <w:t xml:space="preserve"> не </w:t>
      </w:r>
      <w:r>
        <w:t xml:space="preserve"> предоставляется гражданам при </w:t>
      </w:r>
      <w:r>
        <w:t xml:space="preserve">наличии</w:t>
      </w:r>
      <w:r>
        <w:t xml:space="preserve"> у них </w:t>
      </w:r>
      <w:r>
        <w:t xml:space="preserve"> подтвержденной вступившим в законную силу </w:t>
      </w:r>
      <w:r>
        <w:rPr>
          <w:b/>
        </w:rPr>
        <w:t xml:space="preserve"> </w:t>
      </w:r>
      <w:r>
        <w:t xml:space="preserve">актом непогашенной </w:t>
      </w:r>
      <w:r>
        <w:t xml:space="preserve">задолженности по оплате жилого помещени</w:t>
      </w:r>
      <w:r>
        <w:t xml:space="preserve">я и коммунальных услуг за период </w:t>
      </w:r>
      <w:r>
        <w:t xml:space="preserve">не более чем три последних года</w:t>
      </w:r>
      <w:r>
        <w:t xml:space="preserve">. </w:t>
      </w:r>
      <w:r>
        <w:t xml:space="preserve">Управление данные сведения запрашивает в ГИС ЖКХ.</w:t>
      </w:r>
      <w:r/>
    </w:p>
    <w:p>
      <w:pPr>
        <w:pStyle w:val="820"/>
        <w:ind w:left="0" w:right="0" w:firstLine="708"/>
        <w:jc w:val="both"/>
      </w:pPr>
      <w:r>
        <w:rPr>
          <w:color w:val="000000" w:themeColor="text1"/>
        </w:rPr>
        <w:t xml:space="preserve">Компенсация предоставляется гражданам за жилое помещение, в котором они зарегистрированы по месту жительства либо по месту пребывания (в случае отсутствия регистрации по месту жительства на территории Самарской области), не более чем на одно жилое помещение на территории Самарской области.</w:t>
      </w:r>
      <w:r>
        <w:rPr>
          <w:color w:val="000000" w:themeColor="text1"/>
        </w:rPr>
        <w:t xml:space="preserve"> </w:t>
      </w:r>
      <w:r>
        <w:t xml:space="preserve">При наличии у гражданина права на получение компенсации </w:t>
      </w:r>
      <w:r>
        <w:t xml:space="preserve"> </w:t>
      </w:r>
      <w:r>
        <w:t xml:space="preserve"> по нескольким основаниям (статусам) компенсация </w:t>
      </w:r>
      <w:r>
        <w:t xml:space="preserve"> </w:t>
      </w:r>
      <w:r>
        <w:t xml:space="preserve"> предоставляется по одному основанию (статусу) по его выбору.</w:t>
      </w:r>
      <w:r/>
    </w:p>
    <w:p>
      <w:pPr>
        <w:pStyle w:val="820"/>
        <w:ind w:firstLine="0"/>
        <w:jc w:val="both"/>
        <w:rPr>
          <w:highlight w:val="none"/>
        </w:rPr>
      </w:pPr>
      <w:r>
        <w:t xml:space="preserve">         Назначение компенсации осуществляется со дня подачи гражданином заявления и необходимого пакета документов для назначения компенсации в Управление, но не ранее дня возникновения права на ее получение.</w:t>
      </w:r>
      <w:r/>
      <w:r>
        <w:rPr>
          <w:highlight w:val="none"/>
          <w:u w:val="none"/>
        </w:rPr>
      </w:r>
      <w:r>
        <w:rPr>
          <w:u w:val="none"/>
        </w:rPr>
      </w:r>
      <w:r/>
      <w:r>
        <w:rPr>
          <w:highlight w:val="none"/>
        </w:rPr>
      </w:r>
    </w:p>
    <w:p>
      <w:pPr>
        <w:pStyle w:val="820"/>
        <w:jc w:val="center"/>
        <w:rPr>
          <w:b/>
          <w:bCs/>
          <w:sz w:val="26"/>
          <w:szCs w:val="26"/>
          <w:u w:val="none"/>
        </w:rPr>
      </w:pPr>
      <w:r>
        <w:rPr>
          <w:b/>
          <w:bCs/>
          <w:sz w:val="26"/>
          <w:szCs w:val="26"/>
          <w:u w:val="none"/>
        </w:rPr>
        <w:t xml:space="preserve">Для назначения</w:t>
      </w:r>
      <w:r>
        <w:rPr>
          <w:b/>
          <w:bCs/>
          <w:sz w:val="26"/>
          <w:szCs w:val="26"/>
          <w:u w:val="none"/>
        </w:rPr>
        <w:t xml:space="preserve"> </w:t>
      </w:r>
      <w:r>
        <w:rPr>
          <w:b/>
          <w:bCs/>
          <w:sz w:val="26"/>
          <w:szCs w:val="26"/>
          <w:u w:val="none"/>
        </w:rPr>
        <w:t xml:space="preserve">компенсации</w:t>
      </w:r>
      <w:r>
        <w:rPr>
          <w:b/>
          <w:bCs/>
          <w:sz w:val="26"/>
          <w:szCs w:val="26"/>
          <w:u w:val="none"/>
        </w:rPr>
        <w:t xml:space="preserve"> </w:t>
      </w:r>
      <w:r>
        <w:rPr>
          <w:b/>
          <w:bCs/>
          <w:sz w:val="26"/>
          <w:szCs w:val="26"/>
          <w:u w:val="none"/>
        </w:rPr>
        <w:t xml:space="preserve"> з</w:t>
      </w:r>
      <w:r>
        <w:rPr>
          <w:b/>
          <w:bCs/>
          <w:sz w:val="26"/>
          <w:szCs w:val="26"/>
          <w:u w:val="none"/>
        </w:rPr>
        <w:t xml:space="preserve">аявитель предоставляет самостоятельно </w:t>
      </w:r>
      <w:r>
        <w:rPr>
          <w:b/>
          <w:bCs/>
          <w:sz w:val="26"/>
          <w:szCs w:val="26"/>
          <w:highlight w:val="none"/>
          <w:u w:val="none"/>
        </w:rPr>
      </w:r>
    </w:p>
    <w:p>
      <w:pPr>
        <w:jc w:val="center"/>
        <w:rPr>
          <w:b/>
          <w:bCs/>
          <w:sz w:val="26"/>
          <w:szCs w:val="26"/>
          <w:highlight w:val="none"/>
          <w:u w:val="none"/>
        </w:rPr>
      </w:pPr>
      <w:r>
        <w:rPr>
          <w:b/>
          <w:bCs/>
          <w:sz w:val="26"/>
          <w:szCs w:val="26"/>
          <w:u w:val="none"/>
        </w:rPr>
        <w:t xml:space="preserve">(в зависимости от сложившейся конкретной жизненной ситуации):</w:t>
      </w:r>
      <w:r/>
      <w:r/>
    </w:p>
    <w:p>
      <w:pPr>
        <w:pStyle w:val="825"/>
        <w:ind w:firstLine="360"/>
        <w:jc w:val="both"/>
        <w:spacing w:before="0" w:beforeAutospacing="0" w:line="240" w:lineRule="auto"/>
        <w:rPr>
          <w:rFonts w:ascii="Times New Roman" w:hAnsi="Times New Roman" w:cs="Times New Roman"/>
          <w:sz w:val="24"/>
          <w:szCs w:val="24"/>
          <w:highlight w:val="none"/>
        </w:rPr>
      </w:pPr>
      <w:r>
        <w:rPr>
          <w:rFonts w:ascii="Times New Roman" w:hAnsi="Times New Roman" w:cs="Times New Roman"/>
          <w:sz w:val="24"/>
          <w:szCs w:val="24"/>
        </w:rPr>
        <w:t xml:space="preserve">а)</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"P216" \o "Заявление N _______ от ________" \h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заявление</w:t>
      </w:r>
      <w:r>
        <w:rPr>
          <w:rFonts w:ascii="Times New Roman" w:hAnsi="Times New Roman" w:cs="Times New Roman"/>
          <w:sz w:val="24"/>
          <w:szCs w:val="24"/>
        </w:rPr>
        <w:fldChar w:fldCharType="end"/>
      </w:r>
      <w:r>
        <w:rPr>
          <w:rFonts w:ascii="Times New Roman" w:hAnsi="Times New Roman" w:cs="Times New Roman"/>
          <w:sz w:val="24"/>
          <w:szCs w:val="24"/>
        </w:rPr>
        <w:t xml:space="preserve">;</w:t>
      </w:r>
      <w:r>
        <w:rPr>
          <w:rFonts w:ascii="Times New Roman" w:hAnsi="Times New Roman" w:cs="Times New Roman"/>
          <w:sz w:val="24"/>
          <w:szCs w:val="24"/>
          <w:highlight w:val="none"/>
        </w:rPr>
      </w:r>
      <w:r/>
    </w:p>
    <w:p>
      <w:pPr>
        <w:pStyle w:val="824"/>
        <w:ind w:left="0" w:firstLine="360"/>
        <w:jc w:val="both"/>
        <w:spacing w:before="0" w:beforeAutospacing="0" w:after="0" w:line="240" w:lineRule="auto"/>
        <w:rPr>
          <w:rFonts w:ascii="Times New Roman" w:hAnsi="Times New Roman" w:cs="Times New Roman"/>
          <w:sz w:val="24"/>
          <w:szCs w:val="24"/>
          <w:highlight w:val="none"/>
        </w:rPr>
      </w:pPr>
      <w:r>
        <w:rPr>
          <w:rFonts w:ascii="Times New Roman" w:hAnsi="Times New Roman" w:cs="Times New Roman"/>
          <w:sz w:val="24"/>
          <w:szCs w:val="24"/>
        </w:rPr>
        <w:t xml:space="preserve">б) </w:t>
      </w:r>
      <w:r>
        <w:rPr>
          <w:rFonts w:ascii="Times New Roman" w:hAnsi="Times New Roman" w:cs="Times New Roman"/>
          <w:sz w:val="24"/>
          <w:szCs w:val="24"/>
        </w:rPr>
        <w:t xml:space="preserve"> </w:t>
      </w:r>
      <w:r>
        <w:rPr>
          <w:rFonts w:ascii="Times New Roman" w:hAnsi="Times New Roman" w:cs="Times New Roman"/>
          <w:sz w:val="24"/>
          <w:szCs w:val="24"/>
        </w:rPr>
        <w:t xml:space="preserve">документ, удостоверяющий личность гражданина</w:t>
      </w:r>
      <w:r>
        <w:rPr>
          <w:rFonts w:ascii="Times New Roman" w:hAnsi="Times New Roman" w:cs="Times New Roman"/>
          <w:sz w:val="24"/>
          <w:szCs w:val="24"/>
        </w:rPr>
        <w:t xml:space="preserve"> (при личном обращении, либо через МФЦ); </w:t>
      </w:r>
      <w:r>
        <w:rPr>
          <w:rFonts w:ascii="Times New Roman" w:hAnsi="Times New Roman" w:cs="Times New Roman"/>
          <w:sz w:val="24"/>
          <w:szCs w:val="24"/>
          <w:highlight w:val="none"/>
        </w:rPr>
      </w:r>
      <w:r/>
    </w:p>
    <w:p>
      <w:pPr>
        <w:pStyle w:val="824"/>
        <w:ind w:left="0" w:firstLine="360"/>
        <w:jc w:val="both"/>
        <w:spacing w:before="0" w:beforeAutospacing="0" w:after="0" w:line="240" w:lineRule="auto"/>
        <w:rPr>
          <w:rFonts w:ascii="Times New Roman" w:hAnsi="Times New Roman" w:cs="Times New Roman"/>
          <w:sz w:val="24"/>
          <w:szCs w:val="24"/>
        </w:rPr>
      </w:pPr>
      <w:r>
        <w:rPr>
          <w:rFonts w:ascii="Times New Roman" w:hAnsi="Times New Roman" w:cs="Times New Roman"/>
          <w:sz w:val="24"/>
          <w:szCs w:val="24"/>
          <w:highlight w:val="none"/>
        </w:rPr>
        <w:t xml:space="preserve">в) документ иностранного государства о рождении, смерти, заключении (расторжении) брака;</w:t>
      </w:r>
      <w:r>
        <w:rPr>
          <w:rFonts w:ascii="Times New Roman" w:hAnsi="Times New Roman" w:cs="Times New Roman"/>
          <w:sz w:val="24"/>
          <w:szCs w:val="24"/>
        </w:rPr>
        <w:t xml:space="preserve"> </w:t>
      </w:r>
      <w:r>
        <w:rPr>
          <w:rFonts w:ascii="Times New Roman" w:hAnsi="Times New Roman" w:cs="Times New Roman"/>
          <w:sz w:val="24"/>
          <w:szCs w:val="24"/>
        </w:rPr>
      </w:r>
      <w:r/>
    </w:p>
    <w:p>
      <w:pPr>
        <w:pStyle w:val="824"/>
        <w:ind w:left="0" w:firstLine="360"/>
        <w:jc w:val="both"/>
        <w:spacing w:before="0" w:beforeAutospacing="0" w:after="0" w:line="240" w:lineRule="auto"/>
        <w:rPr>
          <w:rFonts w:ascii="Times New Roman" w:hAnsi="Times New Roman" w:cs="Times New Roman"/>
          <w:sz w:val="24"/>
          <w:szCs w:val="24"/>
          <w:highlight w:val="none"/>
        </w:rPr>
      </w:pPr>
      <w:r>
        <w:rPr>
          <w:rFonts w:ascii="Times New Roman" w:hAnsi="Times New Roman" w:cs="Times New Roman"/>
          <w:sz w:val="24"/>
          <w:szCs w:val="24"/>
        </w:rPr>
        <w:t xml:space="preserve">г) документы (сведения) об отнесении гражданина к отдельной категории (за исключением сведений о наличии инвалидности,</w:t>
      </w:r>
      <w:r>
        <w:rPr>
          <w:rFonts w:ascii="Times New Roman" w:hAnsi="Times New Roman" w:cs="Times New Roman"/>
          <w:sz w:val="24"/>
          <w:szCs w:val="24"/>
        </w:rPr>
        <w:t xml:space="preserve"> документа, подтверждающего статус многодетной семьи (сведения о рождении детей) сведений о трудовой деятельности, трудовом стаже гражданина за период после  1 января 2020 года и иных документов, предоставляемых в порядке межведомственного взаимодействия);</w:t>
      </w:r>
      <w:r>
        <w:rPr>
          <w:rFonts w:ascii="Times New Roman" w:hAnsi="Times New Roman" w:cs="Times New Roman"/>
          <w:sz w:val="24"/>
          <w:szCs w:val="24"/>
          <w:highlight w:val="none"/>
        </w:rPr>
      </w:r>
      <w:r/>
    </w:p>
    <w:p>
      <w:pPr>
        <w:pStyle w:val="824"/>
        <w:ind w:left="0" w:firstLine="360"/>
        <w:jc w:val="both"/>
        <w:spacing w:before="0" w:beforeAutospacing="0"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д) документ, подтверждающий правовые основания владения и пользования заявителем жилым помещением, права на которые не зарегистрированные в Едином государственном реестре недвижимости;</w:t>
      </w:r>
      <w:r>
        <w:rPr>
          <w:rFonts w:ascii="Times New Roman" w:hAnsi="Times New Roman" w:cs="Times New Roman"/>
          <w:sz w:val="24"/>
          <w:szCs w:val="24"/>
          <w:highlight w:val="none"/>
        </w:rPr>
      </w:r>
      <w:r/>
    </w:p>
    <w:p>
      <w:pPr>
        <w:pStyle w:val="824"/>
        <w:ind w:left="0" w:firstLine="360"/>
        <w:jc w:val="both"/>
        <w:spacing w:before="0" w:beforeAutospacing="0" w:after="0" w:line="240" w:lineRule="auto"/>
        <w:rPr>
          <w:rFonts w:ascii="Tinos" w:hAnsi="Tinos" w:cs="Tinos"/>
          <w:sz w:val="24"/>
          <w:szCs w:val="24"/>
          <w:highlight w:val="none"/>
        </w:rPr>
      </w:pPr>
      <w:r>
        <w:rPr>
          <w:rFonts w:ascii="Tinos" w:hAnsi="Tinos" w:cs="Tinos"/>
          <w:sz w:val="24"/>
          <w:szCs w:val="24"/>
          <w:highlight w:val="none"/>
        </w:rPr>
        <w:t xml:space="preserve">е) сведений о начислениях, о произведенных платежах и характеристиках объектов жилищного фонда (в случает отсутствия сведений  в ГИС ЖКХ либо у поставщиков ЖКУ).</w:t>
      </w:r>
      <w:r>
        <w:rPr>
          <w:rFonts w:ascii="Tinos" w:hAnsi="Tinos" w:cs="Tinos"/>
          <w:sz w:val="24"/>
          <w:szCs w:val="24"/>
          <w:highlight w:val="none"/>
        </w:rPr>
      </w:r>
      <w:r>
        <w:rPr>
          <w:rFonts w:ascii="Tinos" w:hAnsi="Tinos" w:cs="Tinos"/>
          <w:sz w:val="24"/>
          <w:szCs w:val="24"/>
        </w:rPr>
      </w:r>
    </w:p>
    <w:p>
      <w:pPr>
        <w:pStyle w:val="824"/>
        <w:ind w:left="0" w:firstLine="360"/>
        <w:jc w:val="both"/>
        <w:spacing w:before="0" w:beforeAutospacing="0" w:after="0" w:afterAutospacing="0" w:line="240" w:lineRule="auto"/>
        <w:rPr>
          <w:rFonts w:ascii="Tinos" w:hAnsi="Tinos" w:cs="Tinos"/>
          <w:sz w:val="24"/>
          <w:szCs w:val="24"/>
          <w:highlight w:val="none"/>
        </w:rPr>
      </w:pPr>
      <w:r>
        <w:rPr>
          <w:rFonts w:ascii="Tinos" w:hAnsi="Tinos" w:cs="Tinos"/>
          <w:sz w:val="24"/>
          <w:szCs w:val="24"/>
          <w:highlight w:val="none"/>
        </w:rPr>
      </w:r>
      <w:r>
        <w:rPr>
          <w:rFonts w:ascii="Tinos" w:hAnsi="Tinos" w:cs="Tinos"/>
          <w:color w:val="auto"/>
          <w:sz w:val="24"/>
          <w:szCs w:val="24"/>
        </w:rPr>
        <w:t xml:space="preserve">ж) </w:t>
      </w:r>
      <w:r>
        <w:rPr>
          <w:rFonts w:ascii="Tinos" w:hAnsi="Tinos" w:cs="Tinos"/>
          <w:color w:val="auto"/>
          <w:sz w:val="24"/>
          <w:szCs w:val="24"/>
        </w:rPr>
        <w:t xml:space="preserve">решение суда, подтверждающее факт нахождения заявителя на</w:t>
      </w:r>
      <w:r>
        <w:rPr>
          <w:rFonts w:ascii="Tinos" w:hAnsi="Tinos" w:cs="Tinos"/>
          <w:color w:val="auto"/>
          <w:sz w:val="24"/>
          <w:szCs w:val="24"/>
        </w:rPr>
        <w:t xml:space="preserve"> </w:t>
      </w:r>
      <w:r>
        <w:rPr>
          <w:rFonts w:ascii="Tinos" w:hAnsi="Tinos" w:cs="Tinos"/>
          <w:color w:val="auto"/>
          <w:sz w:val="24"/>
          <w:szCs w:val="24"/>
        </w:rPr>
        <w:t xml:space="preserve">иждивении погибшего (умершего);</w:t>
      </w:r>
      <w:r>
        <w:rPr>
          <w:rFonts w:ascii="Tinos" w:hAnsi="Tinos" w:cs="Tinos"/>
          <w:sz w:val="24"/>
          <w:szCs w:val="24"/>
          <w:highlight w:val="none"/>
        </w:rPr>
      </w:r>
      <w:r>
        <w:rPr>
          <w:rFonts w:ascii="Tinos" w:hAnsi="Tinos" w:cs="Tinos"/>
          <w:sz w:val="24"/>
          <w:szCs w:val="24"/>
        </w:rPr>
      </w:r>
    </w:p>
    <w:p>
      <w:pPr>
        <w:pStyle w:val="824"/>
        <w:ind w:left="0" w:firstLine="360"/>
        <w:jc w:val="both"/>
        <w:spacing w:before="0" w:beforeAutospacing="0" w:after="0" w:line="240" w:lineRule="auto"/>
        <w:rPr>
          <w:rFonts w:ascii="Tinos" w:hAnsi="Tinos" w:cs="Tinos"/>
          <w:sz w:val="23"/>
          <w:szCs w:val="23"/>
        </w:rPr>
      </w:pPr>
      <w:r>
        <w:rPr>
          <w:rFonts w:ascii="Tinos" w:hAnsi="Tinos" w:cs="Tinos"/>
          <w:sz w:val="24"/>
          <w:szCs w:val="24"/>
          <w:highlight w:val="none"/>
        </w:rPr>
      </w:r>
      <w:r>
        <w:rPr>
          <w:rFonts w:ascii="Tinos" w:hAnsi="Tinos" w:cs="Tinos"/>
          <w:color w:val="auto"/>
          <w:sz w:val="24"/>
          <w:szCs w:val="24"/>
        </w:rPr>
        <w:t xml:space="preserve"> </w:t>
      </w:r>
      <w:r>
        <w:rPr>
          <w:rFonts w:ascii="Tinos" w:hAnsi="Tinos" w:cs="Tinos"/>
          <w:color w:val="auto"/>
          <w:sz w:val="23"/>
          <w:szCs w:val="23"/>
        </w:rPr>
        <w:t xml:space="preserve">з)сведения о фак</w:t>
      </w:r>
      <w:r>
        <w:rPr>
          <w:rFonts w:ascii="Tinos" w:hAnsi="Tinos" w:cs="Tinos"/>
          <w:color w:val="auto"/>
          <w:sz w:val="23"/>
          <w:szCs w:val="23"/>
        </w:rPr>
        <w:t xml:space="preserve">те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образования–для детей достигших 18-летнего возраста, но не более чем до достижения ими возраста 23 лет.</w:t>
      </w:r>
      <w:r>
        <w:rPr>
          <w:sz w:val="23"/>
          <w:szCs w:val="23"/>
        </w:rPr>
      </w:r>
      <w:r>
        <w:rPr>
          <w:rFonts w:ascii="Tinos" w:hAnsi="Tinos" w:cs="Tinos"/>
          <w:sz w:val="23"/>
          <w:szCs w:val="23"/>
        </w:rPr>
      </w:r>
    </w:p>
    <w:p>
      <w:pPr>
        <w:pStyle w:val="825"/>
        <w:ind w:left="720"/>
        <w:jc w:val="center"/>
        <w:spacing w:before="0" w:beforeAutospacing="0"/>
        <w:rPr>
          <w:rFonts w:ascii="Times New Roman" w:hAnsi="Times New Roman" w:cs="Times New Roman"/>
          <w:b/>
          <w:bCs/>
          <w:sz w:val="26"/>
          <w:szCs w:val="26"/>
          <w:highlight w:val="none"/>
          <w:u w:val="none"/>
        </w:rPr>
      </w:pPr>
      <w:r>
        <w:rPr>
          <w:rFonts w:ascii="Times New Roman" w:hAnsi="Times New Roman" w:cs="Times New Roman"/>
          <w:b/>
          <w:bCs/>
          <w:sz w:val="26"/>
          <w:szCs w:val="26"/>
          <w:u w:val="none"/>
        </w:rPr>
        <w:t xml:space="preserve">Для назначения </w:t>
      </w:r>
      <w:r>
        <w:rPr>
          <w:rFonts w:ascii="Times New Roman" w:hAnsi="Times New Roman" w:cs="Times New Roman"/>
          <w:b/>
          <w:bCs/>
          <w:sz w:val="26"/>
          <w:szCs w:val="26"/>
          <w:u w:val="none"/>
        </w:rPr>
        <w:t xml:space="preserve">компенсации</w:t>
      </w:r>
      <w:r>
        <w:rPr>
          <w:rFonts w:ascii="Times New Roman" w:hAnsi="Times New Roman" w:cs="Times New Roman"/>
          <w:b/>
          <w:bCs/>
          <w:sz w:val="26"/>
          <w:szCs w:val="26"/>
          <w:u w:val="none"/>
        </w:rPr>
        <w:t xml:space="preserve"> также необходимы</w:t>
      </w:r>
      <w:r>
        <w:rPr>
          <w:rFonts w:ascii="Times New Roman" w:hAnsi="Times New Roman" w:cs="Times New Roman"/>
          <w:b/>
          <w:bCs/>
          <w:sz w:val="26"/>
          <w:szCs w:val="26"/>
          <w:u w:val="none"/>
        </w:rPr>
        <w:t xml:space="preserve">:</w:t>
      </w:r>
      <w:r>
        <w:rPr>
          <w:rFonts w:ascii="Times New Roman" w:hAnsi="Times New Roman" w:cs="Times New Roman"/>
          <w:b/>
          <w:bCs/>
          <w:sz w:val="26"/>
          <w:szCs w:val="26"/>
          <w:highlight w:val="none"/>
          <w:u w:val="none"/>
        </w:rPr>
      </w:r>
      <w:r/>
      <w:r>
        <w:rPr>
          <w:rFonts w:ascii="Times New Roman" w:hAnsi="Times New Roman" w:cs="Times New Roman"/>
          <w:b/>
          <w:bCs/>
          <w:sz w:val="26"/>
          <w:szCs w:val="26"/>
          <w:highlight w:val="none"/>
          <w:u w:val="none"/>
        </w:rPr>
      </w:r>
      <w:r>
        <w:rPr>
          <w:rFonts w:ascii="Times New Roman" w:hAnsi="Times New Roman" w:cs="Times New Roman"/>
          <w:b/>
          <w:bCs/>
          <w:sz w:val="26"/>
          <w:szCs w:val="26"/>
          <w:highlight w:val="none"/>
          <w:u w:val="none"/>
        </w:rPr>
      </w:r>
      <w:r/>
      <w:r>
        <w:rPr>
          <w:rFonts w:ascii="Times New Roman" w:hAnsi="Times New Roman" w:cs="Times New Roman"/>
          <w:b/>
          <w:bCs/>
          <w:sz w:val="26"/>
          <w:szCs w:val="26"/>
          <w:highlight w:val="none"/>
          <w:u w:val="none"/>
        </w:rPr>
      </w:r>
    </w:p>
    <w:p>
      <w:pPr>
        <w:pStyle w:val="825"/>
        <w:ind w:firstLine="540"/>
        <w:jc w:val="both"/>
        <w:spacing w:before="0" w:beforeAutospacing="0"/>
        <w:rPr>
          <w:rFonts w:ascii="Times New Roman" w:hAnsi="Times New Roman" w:cs="Times New Roman"/>
          <w:color w:val="auto"/>
          <w:sz w:val="23"/>
          <w:szCs w:val="23"/>
          <w:highlight w:val="none"/>
        </w:rPr>
      </w:pPr>
      <w:r>
        <w:rPr>
          <w:color w:val="auto"/>
          <w:sz w:val="23"/>
          <w:szCs w:val="23"/>
        </w:rPr>
      </w:r>
      <w:bookmarkStart w:id="1" w:name="P86"/>
      <w:r>
        <w:rPr>
          <w:color w:val="auto"/>
          <w:sz w:val="23"/>
          <w:szCs w:val="23"/>
        </w:rPr>
      </w:r>
      <w:bookmarkEnd w:id="1"/>
      <w:r>
        <w:rPr>
          <w:rFonts w:ascii="Times New Roman" w:hAnsi="Times New Roman" w:cs="Times New Roman"/>
          <w:color w:val="auto"/>
          <w:sz w:val="23"/>
          <w:szCs w:val="23"/>
        </w:rPr>
        <w:t xml:space="preserve">и) документ (сведения), подтверждающий основания отнесения совместно проживающих с гражданином лиц к членам его семьи (свидетельство о браке, о рождении, иные документы (сведения));</w:t>
      </w:r>
      <w:r>
        <w:rPr>
          <w:color w:val="auto"/>
          <w:sz w:val="23"/>
          <w:szCs w:val="23"/>
        </w:rPr>
      </w:r>
      <w:r>
        <w:rPr>
          <w:sz w:val="23"/>
          <w:szCs w:val="23"/>
        </w:rPr>
      </w:r>
    </w:p>
    <w:p>
      <w:pPr>
        <w:pStyle w:val="825"/>
        <w:ind w:firstLine="540"/>
        <w:jc w:val="both"/>
        <w:spacing w:before="0" w:beforeAutospacing="0"/>
        <w:rPr>
          <w:rFonts w:ascii="Times New Roman" w:hAnsi="Times New Roman" w:cs="Times New Roman"/>
          <w:sz w:val="23"/>
          <w:szCs w:val="23"/>
        </w:rPr>
      </w:pPr>
      <w:r>
        <w:rPr>
          <w:rFonts w:ascii="Times New Roman" w:hAnsi="Times New Roman" w:cs="Times New Roman"/>
          <w:sz w:val="23"/>
          <w:szCs w:val="23"/>
          <w:highlight w:val="none"/>
        </w:rPr>
        <w:t xml:space="preserve">к) сведения о регистрации по месту жительства и месту пребывания;</w:t>
      </w:r>
      <w:r>
        <w:rPr>
          <w:rFonts w:ascii="Times New Roman" w:hAnsi="Times New Roman" w:cs="Times New Roman"/>
          <w:sz w:val="23"/>
          <w:szCs w:val="23"/>
          <w:highlight w:val="none"/>
        </w:rPr>
      </w:r>
      <w:r>
        <w:rPr>
          <w:sz w:val="23"/>
          <w:szCs w:val="23"/>
        </w:rPr>
      </w:r>
    </w:p>
    <w:p>
      <w:pPr>
        <w:pStyle w:val="825"/>
        <w:ind w:firstLine="540"/>
        <w:jc w:val="both"/>
        <w:spacing w:before="0" w:beforeAutospacing="0"/>
        <w:rPr>
          <w:rFonts w:ascii="Times New Roman" w:hAnsi="Times New Roman" w:cs="Times New Roman"/>
          <w:sz w:val="23"/>
          <w:szCs w:val="23"/>
          <w:highlight w:val="none"/>
        </w:rPr>
      </w:pPr>
      <w:r>
        <w:rPr>
          <w:rFonts w:ascii="Times New Roman" w:hAnsi="Times New Roman" w:cs="Times New Roman"/>
          <w:sz w:val="23"/>
          <w:szCs w:val="23"/>
        </w:rPr>
        <w:t xml:space="preserve">л) страховой номер индивидуального лицевого счета;</w:t>
      </w:r>
      <w:r>
        <w:rPr>
          <w:sz w:val="23"/>
          <w:szCs w:val="23"/>
        </w:rPr>
      </w:r>
    </w:p>
    <w:p>
      <w:pPr>
        <w:pStyle w:val="825"/>
        <w:ind w:firstLine="540"/>
        <w:jc w:val="both"/>
        <w:spacing w:before="0" w:beforeAutospacing="0"/>
        <w:rPr>
          <w:rFonts w:ascii="Times New Roman" w:hAnsi="Times New Roman" w:cs="Times New Roman"/>
          <w:sz w:val="23"/>
          <w:szCs w:val="23"/>
        </w:rPr>
      </w:pPr>
      <w:r>
        <w:rPr>
          <w:rFonts w:ascii="Times New Roman" w:hAnsi="Times New Roman" w:cs="Times New Roman"/>
          <w:sz w:val="23"/>
          <w:szCs w:val="23"/>
          <w:highlight w:val="none"/>
        </w:rPr>
        <w:t xml:space="preserve">м)сведения о недвижимом имуществе, содержащиеся в Едином государственном реестре недвижимости</w:t>
      </w:r>
      <w:r>
        <w:rPr>
          <w:rFonts w:ascii="Times New Roman" w:hAnsi="Times New Roman" w:cs="Times New Roman"/>
          <w:sz w:val="23"/>
          <w:szCs w:val="23"/>
          <w:highlight w:val="none"/>
        </w:rPr>
      </w:r>
    </w:p>
    <w:p>
      <w:pPr>
        <w:pStyle w:val="820"/>
        <w:ind w:firstLine="708"/>
        <w:jc w:val="both"/>
        <w:spacing w:before="0" w:beforeAutospacing="0"/>
        <w:rPr>
          <w:sz w:val="23"/>
          <w:szCs w:val="23"/>
        </w:rPr>
      </w:pPr>
      <w:r>
        <w:rPr>
          <w:sz w:val="23"/>
          <w:szCs w:val="23"/>
        </w:rPr>
        <w:t xml:space="preserve">Д</w:t>
      </w:r>
      <w:r>
        <w:rPr>
          <w:sz w:val="23"/>
          <w:szCs w:val="23"/>
        </w:rPr>
        <w:t xml:space="preserve">окументы</w:t>
      </w:r>
      <w:r>
        <w:rPr>
          <w:sz w:val="23"/>
          <w:szCs w:val="23"/>
        </w:rPr>
        <w:t xml:space="preserve"> (сведения), указанные в п. «и»-«м»</w:t>
      </w:r>
      <w:r>
        <w:rPr>
          <w:sz w:val="23"/>
          <w:szCs w:val="23"/>
        </w:rPr>
        <w:t xml:space="preserve"> Управление запрашивает в порядке межведомственного взаимодействия, если </w:t>
      </w:r>
      <w:r>
        <w:rPr>
          <w:sz w:val="23"/>
          <w:szCs w:val="23"/>
        </w:rPr>
        <w:t xml:space="preserve">они </w:t>
      </w:r>
      <w:r>
        <w:rPr>
          <w:sz w:val="23"/>
          <w:szCs w:val="23"/>
        </w:rPr>
        <w:t xml:space="preserve">не были предоставлены заявителем самостоятельно.</w:t>
      </w:r>
      <w:r>
        <w:rPr>
          <w:sz w:val="23"/>
          <w:szCs w:val="23"/>
        </w:rPr>
      </w:r>
    </w:p>
    <w:sectPr>
      <w:footnotePr/>
      <w:endnotePr/>
      <w:type w:val="nextPage"/>
      <w:pgSz w:w="11906" w:h="16838" w:orient="portrait"/>
      <w:pgMar w:top="142" w:right="567" w:bottom="114" w:left="567"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nos">
    <w:panose1 w:val="020206030504050203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pStyle w:val="820"/>
        <w:ind w:left="1080" w:hanging="360"/>
      </w:pPr>
    </w:lvl>
    <w:lvl w:ilvl="1">
      <w:start w:val="1"/>
      <w:numFmt w:val="lowerLetter"/>
      <w:isLgl w:val="false"/>
      <w:suff w:val="tab"/>
      <w:lvlText w:val="%2."/>
      <w:lvlJc w:val="left"/>
      <w:pPr>
        <w:pStyle w:val="820"/>
        <w:ind w:left="1800" w:hanging="360"/>
      </w:pPr>
    </w:lvl>
    <w:lvl w:ilvl="2">
      <w:start w:val="1"/>
      <w:numFmt w:val="lowerRoman"/>
      <w:isLgl w:val="false"/>
      <w:suff w:val="tab"/>
      <w:lvlText w:val="%3."/>
      <w:lvlJc w:val="right"/>
      <w:pPr>
        <w:pStyle w:val="820"/>
        <w:ind w:left="2520" w:hanging="180"/>
      </w:pPr>
    </w:lvl>
    <w:lvl w:ilvl="3">
      <w:start w:val="1"/>
      <w:numFmt w:val="decimal"/>
      <w:isLgl w:val="false"/>
      <w:suff w:val="tab"/>
      <w:lvlText w:val="%4."/>
      <w:lvlJc w:val="left"/>
      <w:pPr>
        <w:pStyle w:val="820"/>
        <w:ind w:left="3240" w:hanging="360"/>
      </w:pPr>
    </w:lvl>
    <w:lvl w:ilvl="4">
      <w:start w:val="1"/>
      <w:numFmt w:val="lowerLetter"/>
      <w:isLgl w:val="false"/>
      <w:suff w:val="tab"/>
      <w:lvlText w:val="%5."/>
      <w:lvlJc w:val="left"/>
      <w:pPr>
        <w:pStyle w:val="820"/>
        <w:ind w:left="3960" w:hanging="360"/>
      </w:pPr>
    </w:lvl>
    <w:lvl w:ilvl="5">
      <w:start w:val="1"/>
      <w:numFmt w:val="lowerRoman"/>
      <w:isLgl w:val="false"/>
      <w:suff w:val="tab"/>
      <w:lvlText w:val="%6."/>
      <w:lvlJc w:val="right"/>
      <w:pPr>
        <w:pStyle w:val="820"/>
        <w:ind w:left="4680" w:hanging="180"/>
      </w:pPr>
    </w:lvl>
    <w:lvl w:ilvl="6">
      <w:start w:val="1"/>
      <w:numFmt w:val="decimal"/>
      <w:isLgl w:val="false"/>
      <w:suff w:val="tab"/>
      <w:lvlText w:val="%7."/>
      <w:lvlJc w:val="left"/>
      <w:pPr>
        <w:pStyle w:val="820"/>
        <w:ind w:left="5400" w:hanging="360"/>
      </w:pPr>
    </w:lvl>
    <w:lvl w:ilvl="7">
      <w:start w:val="1"/>
      <w:numFmt w:val="lowerLetter"/>
      <w:isLgl w:val="false"/>
      <w:suff w:val="tab"/>
      <w:lvlText w:val="%8."/>
      <w:lvlJc w:val="left"/>
      <w:pPr>
        <w:pStyle w:val="820"/>
        <w:ind w:left="6120" w:hanging="360"/>
      </w:pPr>
    </w:lvl>
    <w:lvl w:ilvl="8">
      <w:start w:val="1"/>
      <w:numFmt w:val="lowerRoman"/>
      <w:isLgl w:val="false"/>
      <w:suff w:val="tab"/>
      <w:lvlText w:val="%9."/>
      <w:lvlJc w:val="right"/>
      <w:pPr>
        <w:pStyle w:val="820"/>
        <w:ind w:left="6840" w:hanging="180"/>
      </w:pPr>
    </w:lvl>
  </w:abstractNum>
  <w:abstractNum w:abstractNumId="1">
    <w:multiLevelType w:val="hybridMultilevel"/>
    <w:lvl w:ilvl="0">
      <w:start w:val="1"/>
      <w:numFmt w:val="decimal"/>
      <w:isLgl w:val="false"/>
      <w:suff w:val="tab"/>
      <w:lvlText w:val="%1."/>
      <w:lvlJc w:val="left"/>
      <w:pPr>
        <w:pStyle w:val="820"/>
        <w:ind w:left="720" w:hanging="360"/>
      </w:pPr>
      <w:rPr>
        <w:rFonts w:ascii="Times New Roman" w:hAnsi="Times New Roman" w:cs="Times New Roman"/>
        <w:color w:val="000000"/>
      </w:rPr>
    </w:lvl>
    <w:lvl w:ilvl="1">
      <w:start w:val="1"/>
      <w:numFmt w:val="decimal"/>
      <w:isLgl w:val="false"/>
      <w:suff w:val="tab"/>
      <w:lvlText w:val="%2."/>
      <w:lvlJc w:val="left"/>
      <w:pPr>
        <w:pStyle w:val="820"/>
        <w:ind w:left="1440" w:hanging="360"/>
        <w:tabs>
          <w:tab w:val="num" w:pos="1440" w:leader="none"/>
        </w:tabs>
      </w:pPr>
      <w:rPr>
        <w:rFonts w:cs="Times New Roman"/>
      </w:rPr>
    </w:lvl>
    <w:lvl w:ilvl="2">
      <w:start w:val="1"/>
      <w:numFmt w:val="decimal"/>
      <w:isLgl w:val="false"/>
      <w:suff w:val="tab"/>
      <w:lvlText w:val="%3."/>
      <w:lvlJc w:val="left"/>
      <w:pPr>
        <w:pStyle w:val="820"/>
        <w:ind w:left="2160" w:hanging="360"/>
        <w:tabs>
          <w:tab w:val="num" w:pos="2160" w:leader="none"/>
        </w:tabs>
      </w:pPr>
      <w:rPr>
        <w:rFonts w:cs="Times New Roman"/>
      </w:rPr>
    </w:lvl>
    <w:lvl w:ilvl="3">
      <w:start w:val="1"/>
      <w:numFmt w:val="decimal"/>
      <w:isLgl w:val="false"/>
      <w:suff w:val="tab"/>
      <w:lvlText w:val="%4."/>
      <w:lvlJc w:val="left"/>
      <w:pPr>
        <w:pStyle w:val="820"/>
        <w:ind w:left="2880" w:hanging="360"/>
        <w:tabs>
          <w:tab w:val="num" w:pos="2880" w:leader="none"/>
        </w:tabs>
      </w:pPr>
      <w:rPr>
        <w:rFonts w:cs="Times New Roman"/>
      </w:rPr>
    </w:lvl>
    <w:lvl w:ilvl="4">
      <w:start w:val="1"/>
      <w:numFmt w:val="decimal"/>
      <w:isLgl w:val="false"/>
      <w:suff w:val="tab"/>
      <w:lvlText w:val="%5."/>
      <w:lvlJc w:val="left"/>
      <w:pPr>
        <w:pStyle w:val="820"/>
        <w:ind w:left="3600" w:hanging="360"/>
        <w:tabs>
          <w:tab w:val="num" w:pos="3600" w:leader="none"/>
        </w:tabs>
      </w:pPr>
      <w:rPr>
        <w:rFonts w:cs="Times New Roman"/>
      </w:rPr>
    </w:lvl>
    <w:lvl w:ilvl="5">
      <w:start w:val="1"/>
      <w:numFmt w:val="decimal"/>
      <w:isLgl w:val="false"/>
      <w:suff w:val="tab"/>
      <w:lvlText w:val="%6."/>
      <w:lvlJc w:val="left"/>
      <w:pPr>
        <w:pStyle w:val="820"/>
        <w:ind w:left="4320" w:hanging="360"/>
        <w:tabs>
          <w:tab w:val="num" w:pos="4320" w:leader="none"/>
        </w:tabs>
      </w:pPr>
      <w:rPr>
        <w:rFonts w:cs="Times New Roman"/>
      </w:rPr>
    </w:lvl>
    <w:lvl w:ilvl="6">
      <w:start w:val="1"/>
      <w:numFmt w:val="decimal"/>
      <w:isLgl w:val="false"/>
      <w:suff w:val="tab"/>
      <w:lvlText w:val="%7."/>
      <w:lvlJc w:val="left"/>
      <w:pPr>
        <w:pStyle w:val="820"/>
        <w:ind w:left="5040" w:hanging="360"/>
        <w:tabs>
          <w:tab w:val="num" w:pos="5040" w:leader="none"/>
        </w:tabs>
      </w:pPr>
      <w:rPr>
        <w:rFonts w:cs="Times New Roman"/>
      </w:rPr>
    </w:lvl>
    <w:lvl w:ilvl="7">
      <w:start w:val="1"/>
      <w:numFmt w:val="decimal"/>
      <w:isLgl w:val="false"/>
      <w:suff w:val="tab"/>
      <w:lvlText w:val="%8."/>
      <w:lvlJc w:val="left"/>
      <w:pPr>
        <w:pStyle w:val="820"/>
        <w:ind w:left="5760" w:hanging="360"/>
        <w:tabs>
          <w:tab w:val="num" w:pos="5760" w:leader="none"/>
        </w:tabs>
      </w:pPr>
      <w:rPr>
        <w:rFonts w:cs="Times New Roman"/>
      </w:rPr>
    </w:lvl>
    <w:lvl w:ilvl="8">
      <w:start w:val="1"/>
      <w:numFmt w:val="decimal"/>
      <w:isLgl w:val="false"/>
      <w:suff w:val="tab"/>
      <w:lvlText w:val="%9."/>
      <w:lvlJc w:val="left"/>
      <w:pPr>
        <w:pStyle w:val="820"/>
        <w:ind w:left="6480" w:hanging="360"/>
        <w:tabs>
          <w:tab w:val="num" w:pos="6480" w:leader="none"/>
        </w:tabs>
      </w:pPr>
      <w:rPr>
        <w:rFonts w:cs="Times New Roman"/>
      </w:rPr>
    </w:lvl>
  </w:abstractNum>
  <w:abstractNum w:abstractNumId="2">
    <w:multiLevelType w:val="hybridMultilevel"/>
    <w:lvl w:ilvl="0">
      <w:start w:val="1"/>
      <w:numFmt w:val="decimal"/>
      <w:isLgl w:val="false"/>
      <w:suff w:val="tab"/>
      <w:lvlText w:val="%1."/>
      <w:lvlJc w:val="left"/>
      <w:pPr>
        <w:pStyle w:val="820"/>
        <w:ind w:left="1080" w:hanging="360"/>
      </w:pPr>
    </w:lvl>
    <w:lvl w:ilvl="1">
      <w:start w:val="1"/>
      <w:numFmt w:val="lowerLetter"/>
      <w:isLgl w:val="false"/>
      <w:suff w:val="tab"/>
      <w:lvlText w:val="%2."/>
      <w:lvlJc w:val="left"/>
      <w:pPr>
        <w:pStyle w:val="820"/>
        <w:ind w:left="1800" w:hanging="360"/>
      </w:pPr>
    </w:lvl>
    <w:lvl w:ilvl="2">
      <w:start w:val="1"/>
      <w:numFmt w:val="lowerRoman"/>
      <w:isLgl w:val="false"/>
      <w:suff w:val="tab"/>
      <w:lvlText w:val="%3."/>
      <w:lvlJc w:val="right"/>
      <w:pPr>
        <w:pStyle w:val="820"/>
        <w:ind w:left="2520" w:hanging="180"/>
      </w:pPr>
    </w:lvl>
    <w:lvl w:ilvl="3">
      <w:start w:val="1"/>
      <w:numFmt w:val="decimal"/>
      <w:isLgl w:val="false"/>
      <w:suff w:val="tab"/>
      <w:lvlText w:val="%4."/>
      <w:lvlJc w:val="left"/>
      <w:pPr>
        <w:pStyle w:val="820"/>
        <w:ind w:left="3240" w:hanging="360"/>
      </w:pPr>
    </w:lvl>
    <w:lvl w:ilvl="4">
      <w:start w:val="1"/>
      <w:numFmt w:val="lowerLetter"/>
      <w:isLgl w:val="false"/>
      <w:suff w:val="tab"/>
      <w:lvlText w:val="%5."/>
      <w:lvlJc w:val="left"/>
      <w:pPr>
        <w:pStyle w:val="820"/>
        <w:ind w:left="3960" w:hanging="360"/>
      </w:pPr>
    </w:lvl>
    <w:lvl w:ilvl="5">
      <w:start w:val="1"/>
      <w:numFmt w:val="lowerRoman"/>
      <w:isLgl w:val="false"/>
      <w:suff w:val="tab"/>
      <w:lvlText w:val="%6."/>
      <w:lvlJc w:val="right"/>
      <w:pPr>
        <w:pStyle w:val="820"/>
        <w:ind w:left="4680" w:hanging="180"/>
      </w:pPr>
    </w:lvl>
    <w:lvl w:ilvl="6">
      <w:start w:val="1"/>
      <w:numFmt w:val="decimal"/>
      <w:isLgl w:val="false"/>
      <w:suff w:val="tab"/>
      <w:lvlText w:val="%7."/>
      <w:lvlJc w:val="left"/>
      <w:pPr>
        <w:pStyle w:val="820"/>
        <w:ind w:left="5400" w:hanging="360"/>
      </w:pPr>
    </w:lvl>
    <w:lvl w:ilvl="7">
      <w:start w:val="1"/>
      <w:numFmt w:val="lowerLetter"/>
      <w:isLgl w:val="false"/>
      <w:suff w:val="tab"/>
      <w:lvlText w:val="%8."/>
      <w:lvlJc w:val="left"/>
      <w:pPr>
        <w:pStyle w:val="820"/>
        <w:ind w:left="6120" w:hanging="360"/>
      </w:pPr>
    </w:lvl>
    <w:lvl w:ilvl="8">
      <w:start w:val="1"/>
      <w:numFmt w:val="lowerRoman"/>
      <w:isLgl w:val="false"/>
      <w:suff w:val="tab"/>
      <w:lvlText w:val="%9."/>
      <w:lvlJc w:val="right"/>
      <w:pPr>
        <w:pStyle w:val="820"/>
        <w:ind w:left="6840" w:hanging="180"/>
      </w:pPr>
    </w:lvl>
  </w:abstractNum>
  <w:abstractNum w:abstractNumId="3">
    <w:multiLevelType w:val="hybridMultilevel"/>
    <w:lvl w:ilvl="0">
      <w:start w:val="11"/>
      <w:numFmt w:val="decimal"/>
      <w:isLgl w:val="false"/>
      <w:suff w:val="tab"/>
      <w:lvlText w:val="%1."/>
      <w:lvlJc w:val="left"/>
      <w:pPr>
        <w:pStyle w:val="820"/>
        <w:ind w:left="765" w:hanging="405"/>
        <w:tabs>
          <w:tab w:val="num" w:pos="765" w:leader="none"/>
        </w:tabs>
      </w:pPr>
      <w:rPr>
        <w:rFonts w:cs="Times New Roman"/>
      </w:rPr>
    </w:lvl>
    <w:lvl w:ilvl="1">
      <w:start w:val="1"/>
      <w:numFmt w:val="lowerLetter"/>
      <w:isLgl w:val="false"/>
      <w:suff w:val="tab"/>
      <w:lvlText w:val="%2."/>
      <w:lvlJc w:val="left"/>
      <w:pPr>
        <w:pStyle w:val="820"/>
        <w:ind w:left="1440" w:hanging="360"/>
        <w:tabs>
          <w:tab w:val="num" w:pos="1440" w:leader="none"/>
        </w:tabs>
      </w:pPr>
      <w:rPr>
        <w:rFonts w:cs="Times New Roman"/>
      </w:rPr>
    </w:lvl>
    <w:lvl w:ilvl="2">
      <w:start w:val="1"/>
      <w:numFmt w:val="lowerRoman"/>
      <w:isLgl w:val="false"/>
      <w:suff w:val="tab"/>
      <w:lvlText w:val="%3."/>
      <w:lvlJc w:val="right"/>
      <w:pPr>
        <w:pStyle w:val="820"/>
        <w:ind w:left="2160" w:hanging="180"/>
        <w:tabs>
          <w:tab w:val="num" w:pos="2160" w:leader="none"/>
        </w:tabs>
      </w:pPr>
      <w:rPr>
        <w:rFonts w:cs="Times New Roman"/>
      </w:rPr>
    </w:lvl>
    <w:lvl w:ilvl="3">
      <w:start w:val="1"/>
      <w:numFmt w:val="decimal"/>
      <w:isLgl w:val="false"/>
      <w:suff w:val="tab"/>
      <w:lvlText w:val="%4."/>
      <w:lvlJc w:val="left"/>
      <w:pPr>
        <w:pStyle w:val="820"/>
        <w:ind w:left="2880" w:hanging="360"/>
        <w:tabs>
          <w:tab w:val="num" w:pos="2880" w:leader="none"/>
        </w:tabs>
      </w:pPr>
      <w:rPr>
        <w:rFonts w:cs="Times New Roman"/>
      </w:rPr>
    </w:lvl>
    <w:lvl w:ilvl="4">
      <w:start w:val="1"/>
      <w:numFmt w:val="lowerLetter"/>
      <w:isLgl w:val="false"/>
      <w:suff w:val="tab"/>
      <w:lvlText w:val="%5."/>
      <w:lvlJc w:val="left"/>
      <w:pPr>
        <w:pStyle w:val="820"/>
        <w:ind w:left="3600" w:hanging="360"/>
        <w:tabs>
          <w:tab w:val="num" w:pos="3600" w:leader="none"/>
        </w:tabs>
      </w:pPr>
      <w:rPr>
        <w:rFonts w:cs="Times New Roman"/>
      </w:rPr>
    </w:lvl>
    <w:lvl w:ilvl="5">
      <w:start w:val="1"/>
      <w:numFmt w:val="lowerRoman"/>
      <w:isLgl w:val="false"/>
      <w:suff w:val="tab"/>
      <w:lvlText w:val="%6."/>
      <w:lvlJc w:val="right"/>
      <w:pPr>
        <w:pStyle w:val="820"/>
        <w:ind w:left="4320" w:hanging="180"/>
        <w:tabs>
          <w:tab w:val="num" w:pos="4320" w:leader="none"/>
        </w:tabs>
      </w:pPr>
      <w:rPr>
        <w:rFonts w:cs="Times New Roman"/>
      </w:rPr>
    </w:lvl>
    <w:lvl w:ilvl="6">
      <w:start w:val="1"/>
      <w:numFmt w:val="decimal"/>
      <w:isLgl w:val="false"/>
      <w:suff w:val="tab"/>
      <w:lvlText w:val="%7."/>
      <w:lvlJc w:val="left"/>
      <w:pPr>
        <w:pStyle w:val="820"/>
        <w:ind w:left="5040" w:hanging="360"/>
        <w:tabs>
          <w:tab w:val="num" w:pos="5040" w:leader="none"/>
        </w:tabs>
      </w:pPr>
      <w:rPr>
        <w:rFonts w:cs="Times New Roman"/>
      </w:rPr>
    </w:lvl>
    <w:lvl w:ilvl="7">
      <w:start w:val="1"/>
      <w:numFmt w:val="lowerLetter"/>
      <w:isLgl w:val="false"/>
      <w:suff w:val="tab"/>
      <w:lvlText w:val="%8."/>
      <w:lvlJc w:val="left"/>
      <w:pPr>
        <w:pStyle w:val="820"/>
        <w:ind w:left="5760" w:hanging="360"/>
        <w:tabs>
          <w:tab w:val="num" w:pos="5760" w:leader="none"/>
        </w:tabs>
      </w:pPr>
      <w:rPr>
        <w:rFonts w:cs="Times New Roman"/>
      </w:rPr>
    </w:lvl>
    <w:lvl w:ilvl="8">
      <w:start w:val="1"/>
      <w:numFmt w:val="lowerRoman"/>
      <w:isLgl w:val="false"/>
      <w:suff w:val="tab"/>
      <w:lvlText w:val="%9."/>
      <w:lvlJc w:val="right"/>
      <w:pPr>
        <w:pStyle w:val="820"/>
        <w:ind w:left="6480" w:hanging="180"/>
        <w:tabs>
          <w:tab w:val="num" w:pos="6480" w:leader="none"/>
        </w:tabs>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43">
    <w:name w:val="Heading 1"/>
    <w:basedOn w:val="820"/>
    <w:next w:val="820"/>
    <w:link w:val="644"/>
    <w:uiPriority w:val="9"/>
    <w:qFormat/>
    <w:pPr>
      <w:keepLines/>
      <w:keepNext/>
      <w:spacing w:before="480" w:after="200"/>
      <w:outlineLvl w:val="0"/>
    </w:pPr>
    <w:rPr>
      <w:rFonts w:ascii="Arial" w:hAnsi="Arial" w:eastAsia="Arial" w:cs="Arial"/>
      <w:sz w:val="40"/>
      <w:szCs w:val="40"/>
    </w:rPr>
  </w:style>
  <w:style w:type="character" w:styleId="644">
    <w:name w:val="Heading 1 Char"/>
    <w:link w:val="643"/>
    <w:uiPriority w:val="9"/>
    <w:rPr>
      <w:rFonts w:ascii="Arial" w:hAnsi="Arial" w:eastAsia="Arial" w:cs="Arial"/>
      <w:sz w:val="40"/>
      <w:szCs w:val="40"/>
    </w:rPr>
  </w:style>
  <w:style w:type="paragraph" w:styleId="645">
    <w:name w:val="Heading 2"/>
    <w:basedOn w:val="820"/>
    <w:next w:val="820"/>
    <w:link w:val="646"/>
    <w:uiPriority w:val="9"/>
    <w:unhideWhenUsed/>
    <w:qFormat/>
    <w:pPr>
      <w:keepLines/>
      <w:keepNext/>
      <w:spacing w:before="360" w:after="200"/>
      <w:outlineLvl w:val="1"/>
    </w:pPr>
    <w:rPr>
      <w:rFonts w:ascii="Arial" w:hAnsi="Arial" w:eastAsia="Arial" w:cs="Arial"/>
      <w:sz w:val="34"/>
    </w:rPr>
  </w:style>
  <w:style w:type="character" w:styleId="646">
    <w:name w:val="Heading 2 Char"/>
    <w:link w:val="645"/>
    <w:uiPriority w:val="9"/>
    <w:rPr>
      <w:rFonts w:ascii="Arial" w:hAnsi="Arial" w:eastAsia="Arial" w:cs="Arial"/>
      <w:sz w:val="34"/>
    </w:rPr>
  </w:style>
  <w:style w:type="paragraph" w:styleId="647">
    <w:name w:val="Heading 3"/>
    <w:basedOn w:val="820"/>
    <w:next w:val="820"/>
    <w:link w:val="648"/>
    <w:uiPriority w:val="9"/>
    <w:unhideWhenUsed/>
    <w:qFormat/>
    <w:pPr>
      <w:keepLines/>
      <w:keepNext/>
      <w:spacing w:before="320" w:after="200"/>
      <w:outlineLvl w:val="2"/>
    </w:pPr>
    <w:rPr>
      <w:rFonts w:ascii="Arial" w:hAnsi="Arial" w:eastAsia="Arial" w:cs="Arial"/>
      <w:sz w:val="30"/>
      <w:szCs w:val="30"/>
    </w:rPr>
  </w:style>
  <w:style w:type="character" w:styleId="648">
    <w:name w:val="Heading 3 Char"/>
    <w:link w:val="647"/>
    <w:uiPriority w:val="9"/>
    <w:rPr>
      <w:rFonts w:ascii="Arial" w:hAnsi="Arial" w:eastAsia="Arial" w:cs="Arial"/>
      <w:sz w:val="30"/>
      <w:szCs w:val="30"/>
    </w:rPr>
  </w:style>
  <w:style w:type="paragraph" w:styleId="649">
    <w:name w:val="Heading 4"/>
    <w:basedOn w:val="820"/>
    <w:next w:val="820"/>
    <w:link w:val="650"/>
    <w:uiPriority w:val="9"/>
    <w:unhideWhenUsed/>
    <w:qFormat/>
    <w:pPr>
      <w:keepLines/>
      <w:keepNext/>
      <w:spacing w:before="320" w:after="200"/>
      <w:outlineLvl w:val="3"/>
    </w:pPr>
    <w:rPr>
      <w:rFonts w:ascii="Arial" w:hAnsi="Arial" w:eastAsia="Arial" w:cs="Arial"/>
      <w:b/>
      <w:bCs/>
      <w:sz w:val="26"/>
      <w:szCs w:val="26"/>
    </w:rPr>
  </w:style>
  <w:style w:type="character" w:styleId="650">
    <w:name w:val="Heading 4 Char"/>
    <w:link w:val="649"/>
    <w:uiPriority w:val="9"/>
    <w:rPr>
      <w:rFonts w:ascii="Arial" w:hAnsi="Arial" w:eastAsia="Arial" w:cs="Arial"/>
      <w:b/>
      <w:bCs/>
      <w:sz w:val="26"/>
      <w:szCs w:val="26"/>
    </w:rPr>
  </w:style>
  <w:style w:type="paragraph" w:styleId="651">
    <w:name w:val="Heading 5"/>
    <w:basedOn w:val="820"/>
    <w:next w:val="820"/>
    <w:link w:val="652"/>
    <w:uiPriority w:val="9"/>
    <w:unhideWhenUsed/>
    <w:qFormat/>
    <w:pPr>
      <w:keepLines/>
      <w:keepNext/>
      <w:spacing w:before="320" w:after="200"/>
      <w:outlineLvl w:val="4"/>
    </w:pPr>
    <w:rPr>
      <w:rFonts w:ascii="Arial" w:hAnsi="Arial" w:eastAsia="Arial" w:cs="Arial"/>
      <w:b/>
      <w:bCs/>
      <w:sz w:val="24"/>
      <w:szCs w:val="24"/>
    </w:rPr>
  </w:style>
  <w:style w:type="character" w:styleId="652">
    <w:name w:val="Heading 5 Char"/>
    <w:link w:val="651"/>
    <w:uiPriority w:val="9"/>
    <w:rPr>
      <w:rFonts w:ascii="Arial" w:hAnsi="Arial" w:eastAsia="Arial" w:cs="Arial"/>
      <w:b/>
      <w:bCs/>
      <w:sz w:val="24"/>
      <w:szCs w:val="24"/>
    </w:rPr>
  </w:style>
  <w:style w:type="paragraph" w:styleId="653">
    <w:name w:val="Heading 6"/>
    <w:basedOn w:val="820"/>
    <w:next w:val="820"/>
    <w:link w:val="654"/>
    <w:uiPriority w:val="9"/>
    <w:unhideWhenUsed/>
    <w:qFormat/>
    <w:pPr>
      <w:keepLines/>
      <w:keepNext/>
      <w:spacing w:before="320" w:after="200"/>
      <w:outlineLvl w:val="5"/>
    </w:pPr>
    <w:rPr>
      <w:rFonts w:ascii="Arial" w:hAnsi="Arial" w:eastAsia="Arial" w:cs="Arial"/>
      <w:b/>
      <w:bCs/>
      <w:sz w:val="22"/>
      <w:szCs w:val="22"/>
    </w:rPr>
  </w:style>
  <w:style w:type="character" w:styleId="654">
    <w:name w:val="Heading 6 Char"/>
    <w:link w:val="653"/>
    <w:uiPriority w:val="9"/>
    <w:rPr>
      <w:rFonts w:ascii="Arial" w:hAnsi="Arial" w:eastAsia="Arial" w:cs="Arial"/>
      <w:b/>
      <w:bCs/>
      <w:sz w:val="22"/>
      <w:szCs w:val="22"/>
    </w:rPr>
  </w:style>
  <w:style w:type="paragraph" w:styleId="655">
    <w:name w:val="Heading 7"/>
    <w:basedOn w:val="820"/>
    <w:next w:val="820"/>
    <w:link w:val="656"/>
    <w:uiPriority w:val="9"/>
    <w:unhideWhenUsed/>
    <w:qFormat/>
    <w:pPr>
      <w:keepLines/>
      <w:keepNext/>
      <w:spacing w:before="320" w:after="200"/>
      <w:outlineLvl w:val="6"/>
    </w:pPr>
    <w:rPr>
      <w:rFonts w:ascii="Arial" w:hAnsi="Arial" w:eastAsia="Arial" w:cs="Arial"/>
      <w:b/>
      <w:bCs/>
      <w:i/>
      <w:iCs/>
      <w:sz w:val="22"/>
      <w:szCs w:val="22"/>
    </w:rPr>
  </w:style>
  <w:style w:type="character" w:styleId="656">
    <w:name w:val="Heading 7 Char"/>
    <w:link w:val="655"/>
    <w:uiPriority w:val="9"/>
    <w:rPr>
      <w:rFonts w:ascii="Arial" w:hAnsi="Arial" w:eastAsia="Arial" w:cs="Arial"/>
      <w:b/>
      <w:bCs/>
      <w:i/>
      <w:iCs/>
      <w:sz w:val="22"/>
      <w:szCs w:val="22"/>
    </w:rPr>
  </w:style>
  <w:style w:type="paragraph" w:styleId="657">
    <w:name w:val="Heading 8"/>
    <w:basedOn w:val="820"/>
    <w:next w:val="820"/>
    <w:link w:val="658"/>
    <w:uiPriority w:val="9"/>
    <w:unhideWhenUsed/>
    <w:qFormat/>
    <w:pPr>
      <w:keepLines/>
      <w:keepNext/>
      <w:spacing w:before="320" w:after="200"/>
      <w:outlineLvl w:val="7"/>
    </w:pPr>
    <w:rPr>
      <w:rFonts w:ascii="Arial" w:hAnsi="Arial" w:eastAsia="Arial" w:cs="Arial"/>
      <w:i/>
      <w:iCs/>
      <w:sz w:val="22"/>
      <w:szCs w:val="22"/>
    </w:rPr>
  </w:style>
  <w:style w:type="character" w:styleId="658">
    <w:name w:val="Heading 8 Char"/>
    <w:link w:val="657"/>
    <w:uiPriority w:val="9"/>
    <w:rPr>
      <w:rFonts w:ascii="Arial" w:hAnsi="Arial" w:eastAsia="Arial" w:cs="Arial"/>
      <w:i/>
      <w:iCs/>
      <w:sz w:val="22"/>
      <w:szCs w:val="22"/>
    </w:rPr>
  </w:style>
  <w:style w:type="paragraph" w:styleId="659">
    <w:name w:val="Heading 9"/>
    <w:basedOn w:val="820"/>
    <w:next w:val="820"/>
    <w:link w:val="660"/>
    <w:uiPriority w:val="9"/>
    <w:unhideWhenUsed/>
    <w:qFormat/>
    <w:pPr>
      <w:keepLines/>
      <w:keepNext/>
      <w:spacing w:before="320" w:after="200"/>
      <w:outlineLvl w:val="8"/>
    </w:pPr>
    <w:rPr>
      <w:rFonts w:ascii="Arial" w:hAnsi="Arial" w:eastAsia="Arial" w:cs="Arial"/>
      <w:i/>
      <w:iCs/>
      <w:sz w:val="21"/>
      <w:szCs w:val="21"/>
    </w:rPr>
  </w:style>
  <w:style w:type="character" w:styleId="660">
    <w:name w:val="Heading 9 Char"/>
    <w:link w:val="659"/>
    <w:uiPriority w:val="9"/>
    <w:rPr>
      <w:rFonts w:ascii="Arial" w:hAnsi="Arial" w:eastAsia="Arial" w:cs="Arial"/>
      <w:i/>
      <w:iCs/>
      <w:sz w:val="21"/>
      <w:szCs w:val="21"/>
    </w:rPr>
  </w:style>
  <w:style w:type="paragraph" w:styleId="661">
    <w:name w:val="No Spacing"/>
    <w:uiPriority w:val="1"/>
    <w:qFormat/>
    <w:pPr>
      <w:spacing w:before="0" w:after="0" w:line="240" w:lineRule="auto"/>
    </w:pPr>
  </w:style>
  <w:style w:type="paragraph" w:styleId="662">
    <w:name w:val="Title"/>
    <w:basedOn w:val="820"/>
    <w:next w:val="820"/>
    <w:link w:val="663"/>
    <w:uiPriority w:val="10"/>
    <w:qFormat/>
    <w:pPr>
      <w:contextualSpacing/>
      <w:spacing w:before="300" w:after="200"/>
    </w:pPr>
    <w:rPr>
      <w:sz w:val="48"/>
      <w:szCs w:val="48"/>
    </w:rPr>
  </w:style>
  <w:style w:type="character" w:styleId="663">
    <w:name w:val="Title Char"/>
    <w:link w:val="662"/>
    <w:uiPriority w:val="10"/>
    <w:rPr>
      <w:sz w:val="48"/>
      <w:szCs w:val="48"/>
    </w:rPr>
  </w:style>
  <w:style w:type="paragraph" w:styleId="664">
    <w:name w:val="Subtitle"/>
    <w:basedOn w:val="820"/>
    <w:next w:val="820"/>
    <w:link w:val="665"/>
    <w:uiPriority w:val="11"/>
    <w:qFormat/>
    <w:pPr>
      <w:spacing w:before="200" w:after="200"/>
    </w:pPr>
    <w:rPr>
      <w:sz w:val="24"/>
      <w:szCs w:val="24"/>
    </w:rPr>
  </w:style>
  <w:style w:type="character" w:styleId="665">
    <w:name w:val="Subtitle Char"/>
    <w:link w:val="664"/>
    <w:uiPriority w:val="11"/>
    <w:rPr>
      <w:sz w:val="24"/>
      <w:szCs w:val="24"/>
    </w:rPr>
  </w:style>
  <w:style w:type="paragraph" w:styleId="666">
    <w:name w:val="Quote"/>
    <w:basedOn w:val="820"/>
    <w:next w:val="820"/>
    <w:link w:val="667"/>
    <w:uiPriority w:val="29"/>
    <w:qFormat/>
    <w:pPr>
      <w:ind w:left="720" w:right="720"/>
    </w:pPr>
    <w:rPr>
      <w:i/>
    </w:rPr>
  </w:style>
  <w:style w:type="character" w:styleId="667">
    <w:name w:val="Quote Char"/>
    <w:link w:val="666"/>
    <w:uiPriority w:val="29"/>
    <w:rPr>
      <w:i/>
    </w:rPr>
  </w:style>
  <w:style w:type="paragraph" w:styleId="668">
    <w:name w:val="Intense Quote"/>
    <w:basedOn w:val="820"/>
    <w:next w:val="820"/>
    <w:link w:val="66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9">
    <w:name w:val="Intense Quote Char"/>
    <w:link w:val="668"/>
    <w:uiPriority w:val="30"/>
    <w:rPr>
      <w:i/>
    </w:rPr>
  </w:style>
  <w:style w:type="paragraph" w:styleId="670">
    <w:name w:val="Header"/>
    <w:basedOn w:val="820"/>
    <w:link w:val="671"/>
    <w:uiPriority w:val="99"/>
    <w:unhideWhenUsed/>
    <w:pPr>
      <w:spacing w:after="0" w:line="240" w:lineRule="auto"/>
      <w:tabs>
        <w:tab w:val="center" w:pos="7143" w:leader="none"/>
        <w:tab w:val="right" w:pos="14287" w:leader="none"/>
      </w:tabs>
    </w:pPr>
  </w:style>
  <w:style w:type="character" w:styleId="671">
    <w:name w:val="Header Char"/>
    <w:link w:val="670"/>
    <w:uiPriority w:val="99"/>
  </w:style>
  <w:style w:type="paragraph" w:styleId="672">
    <w:name w:val="Footer"/>
    <w:basedOn w:val="820"/>
    <w:link w:val="675"/>
    <w:uiPriority w:val="99"/>
    <w:unhideWhenUsed/>
    <w:pPr>
      <w:spacing w:after="0" w:line="240" w:lineRule="auto"/>
      <w:tabs>
        <w:tab w:val="center" w:pos="7143" w:leader="none"/>
        <w:tab w:val="right" w:pos="14287" w:leader="none"/>
      </w:tabs>
    </w:pPr>
  </w:style>
  <w:style w:type="character" w:styleId="673">
    <w:name w:val="Footer Char"/>
    <w:link w:val="672"/>
    <w:uiPriority w:val="99"/>
  </w:style>
  <w:style w:type="paragraph" w:styleId="674">
    <w:name w:val="Caption"/>
    <w:basedOn w:val="820"/>
    <w:next w:val="820"/>
    <w:uiPriority w:val="35"/>
    <w:semiHidden/>
    <w:unhideWhenUsed/>
    <w:qFormat/>
    <w:pPr>
      <w:spacing w:line="276" w:lineRule="auto"/>
    </w:pPr>
    <w:rPr>
      <w:b/>
      <w:bCs/>
      <w:color w:val="4f81bd" w:themeColor="accent1"/>
      <w:sz w:val="18"/>
      <w:szCs w:val="18"/>
    </w:rPr>
  </w:style>
  <w:style w:type="character" w:styleId="675">
    <w:name w:val="Caption Char"/>
    <w:basedOn w:val="674"/>
    <w:link w:val="672"/>
    <w:uiPriority w:val="99"/>
  </w:style>
  <w:style w:type="table" w:styleId="67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7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8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8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9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0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0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1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1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1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1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1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1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2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2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2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2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2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2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2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2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3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3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4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4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4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5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5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5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5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5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5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5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5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5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6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6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7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7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7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7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7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7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7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7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7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8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8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8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8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8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8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8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8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9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9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9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9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9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9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9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9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2">
    <w:name w:val="Hyperlink"/>
    <w:uiPriority w:val="99"/>
    <w:unhideWhenUsed/>
    <w:rPr>
      <w:color w:val="0000ff" w:themeColor="hyperlink"/>
      <w:u w:val="single"/>
    </w:rPr>
  </w:style>
  <w:style w:type="paragraph" w:styleId="803">
    <w:name w:val="footnote text"/>
    <w:basedOn w:val="820"/>
    <w:link w:val="804"/>
    <w:uiPriority w:val="99"/>
    <w:semiHidden/>
    <w:unhideWhenUsed/>
    <w:pPr>
      <w:spacing w:after="40" w:line="240" w:lineRule="auto"/>
    </w:pPr>
    <w:rPr>
      <w:sz w:val="18"/>
    </w:rPr>
  </w:style>
  <w:style w:type="character" w:styleId="804">
    <w:name w:val="Footnote Text Char"/>
    <w:link w:val="803"/>
    <w:uiPriority w:val="99"/>
    <w:rPr>
      <w:sz w:val="18"/>
    </w:rPr>
  </w:style>
  <w:style w:type="character" w:styleId="805">
    <w:name w:val="footnote reference"/>
    <w:uiPriority w:val="99"/>
    <w:unhideWhenUsed/>
    <w:rPr>
      <w:vertAlign w:val="superscript"/>
    </w:rPr>
  </w:style>
  <w:style w:type="paragraph" w:styleId="806">
    <w:name w:val="endnote text"/>
    <w:basedOn w:val="820"/>
    <w:link w:val="807"/>
    <w:uiPriority w:val="99"/>
    <w:semiHidden/>
    <w:unhideWhenUsed/>
    <w:pPr>
      <w:spacing w:after="0" w:line="240" w:lineRule="auto"/>
    </w:pPr>
    <w:rPr>
      <w:sz w:val="20"/>
    </w:rPr>
  </w:style>
  <w:style w:type="character" w:styleId="807">
    <w:name w:val="Endnote Text Char"/>
    <w:link w:val="806"/>
    <w:uiPriority w:val="99"/>
    <w:rPr>
      <w:sz w:val="20"/>
    </w:rPr>
  </w:style>
  <w:style w:type="character" w:styleId="808">
    <w:name w:val="endnote reference"/>
    <w:uiPriority w:val="99"/>
    <w:semiHidden/>
    <w:unhideWhenUsed/>
    <w:rPr>
      <w:vertAlign w:val="superscript"/>
    </w:rPr>
  </w:style>
  <w:style w:type="paragraph" w:styleId="809">
    <w:name w:val="toc 1"/>
    <w:basedOn w:val="820"/>
    <w:next w:val="820"/>
    <w:uiPriority w:val="39"/>
    <w:unhideWhenUsed/>
    <w:pPr>
      <w:ind w:left="0" w:right="0" w:firstLine="0"/>
      <w:spacing w:after="57"/>
    </w:pPr>
  </w:style>
  <w:style w:type="paragraph" w:styleId="810">
    <w:name w:val="toc 2"/>
    <w:basedOn w:val="820"/>
    <w:next w:val="820"/>
    <w:uiPriority w:val="39"/>
    <w:unhideWhenUsed/>
    <w:pPr>
      <w:ind w:left="283" w:right="0" w:firstLine="0"/>
      <w:spacing w:after="57"/>
    </w:pPr>
  </w:style>
  <w:style w:type="paragraph" w:styleId="811">
    <w:name w:val="toc 3"/>
    <w:basedOn w:val="820"/>
    <w:next w:val="820"/>
    <w:uiPriority w:val="39"/>
    <w:unhideWhenUsed/>
    <w:pPr>
      <w:ind w:left="567" w:right="0" w:firstLine="0"/>
      <w:spacing w:after="57"/>
    </w:pPr>
  </w:style>
  <w:style w:type="paragraph" w:styleId="812">
    <w:name w:val="toc 4"/>
    <w:basedOn w:val="820"/>
    <w:next w:val="820"/>
    <w:uiPriority w:val="39"/>
    <w:unhideWhenUsed/>
    <w:pPr>
      <w:ind w:left="850" w:right="0" w:firstLine="0"/>
      <w:spacing w:after="57"/>
    </w:pPr>
  </w:style>
  <w:style w:type="paragraph" w:styleId="813">
    <w:name w:val="toc 5"/>
    <w:basedOn w:val="820"/>
    <w:next w:val="820"/>
    <w:uiPriority w:val="39"/>
    <w:unhideWhenUsed/>
    <w:pPr>
      <w:ind w:left="1134" w:right="0" w:firstLine="0"/>
      <w:spacing w:after="57"/>
    </w:pPr>
  </w:style>
  <w:style w:type="paragraph" w:styleId="814">
    <w:name w:val="toc 6"/>
    <w:basedOn w:val="820"/>
    <w:next w:val="820"/>
    <w:uiPriority w:val="39"/>
    <w:unhideWhenUsed/>
    <w:pPr>
      <w:ind w:left="1417" w:right="0" w:firstLine="0"/>
      <w:spacing w:after="57"/>
    </w:pPr>
  </w:style>
  <w:style w:type="paragraph" w:styleId="815">
    <w:name w:val="toc 7"/>
    <w:basedOn w:val="820"/>
    <w:next w:val="820"/>
    <w:uiPriority w:val="39"/>
    <w:unhideWhenUsed/>
    <w:pPr>
      <w:ind w:left="1701" w:right="0" w:firstLine="0"/>
      <w:spacing w:after="57"/>
    </w:pPr>
  </w:style>
  <w:style w:type="paragraph" w:styleId="816">
    <w:name w:val="toc 8"/>
    <w:basedOn w:val="820"/>
    <w:next w:val="820"/>
    <w:uiPriority w:val="39"/>
    <w:unhideWhenUsed/>
    <w:pPr>
      <w:ind w:left="1984" w:right="0" w:firstLine="0"/>
      <w:spacing w:after="57"/>
    </w:pPr>
  </w:style>
  <w:style w:type="paragraph" w:styleId="817">
    <w:name w:val="toc 9"/>
    <w:basedOn w:val="820"/>
    <w:next w:val="820"/>
    <w:uiPriority w:val="39"/>
    <w:unhideWhenUsed/>
    <w:pPr>
      <w:ind w:left="2268" w:right="0" w:firstLine="0"/>
      <w:spacing w:after="57"/>
    </w:pPr>
  </w:style>
  <w:style w:type="paragraph" w:styleId="818">
    <w:name w:val="TOC Heading"/>
    <w:uiPriority w:val="39"/>
    <w:unhideWhenUsed/>
  </w:style>
  <w:style w:type="paragraph" w:styleId="819">
    <w:name w:val="table of figures"/>
    <w:basedOn w:val="820"/>
    <w:next w:val="820"/>
    <w:uiPriority w:val="99"/>
    <w:unhideWhenUsed/>
    <w:pPr>
      <w:spacing w:after="0" w:afterAutospacing="0"/>
    </w:pPr>
  </w:style>
  <w:style w:type="paragraph" w:styleId="820" w:default="1">
    <w:name w:val="Normal"/>
    <w:next w:val="820"/>
    <w:link w:val="820"/>
    <w:qFormat/>
    <w:rPr>
      <w:sz w:val="24"/>
      <w:szCs w:val="24"/>
      <w:lang w:val="ru-RU" w:eastAsia="ru-RU" w:bidi="ar-SA"/>
    </w:rPr>
  </w:style>
  <w:style w:type="character" w:styleId="821">
    <w:name w:val="Основной шрифт абзаца"/>
    <w:next w:val="821"/>
    <w:link w:val="820"/>
    <w:semiHidden/>
  </w:style>
  <w:style w:type="table" w:styleId="822">
    <w:name w:val="Обычная таблица"/>
    <w:next w:val="822"/>
    <w:link w:val="820"/>
    <w:semiHidden/>
    <w:tblPr/>
  </w:style>
  <w:style w:type="numbering" w:styleId="823">
    <w:name w:val="Нет списка"/>
    <w:next w:val="823"/>
    <w:link w:val="820"/>
    <w:semiHidden/>
  </w:style>
  <w:style w:type="paragraph" w:styleId="824">
    <w:name w:val="List Paragraph"/>
    <w:basedOn w:val="820"/>
    <w:next w:val="824"/>
    <w:link w:val="820"/>
    <w:pPr>
      <w:ind w:left="720"/>
      <w:spacing w:after="200" w:line="276" w:lineRule="auto"/>
    </w:pPr>
    <w:rPr>
      <w:rFonts w:ascii="Calibri" w:hAnsi="Calibri" w:cs="Calibri"/>
      <w:sz w:val="22"/>
      <w:szCs w:val="22"/>
      <w:lang w:eastAsia="en-US"/>
    </w:rPr>
  </w:style>
  <w:style w:type="paragraph" w:styleId="825">
    <w:name w:val="ConsPlusNormal"/>
    <w:next w:val="825"/>
    <w:link w:val="820"/>
    <w:pPr>
      <w:widowControl w:val="off"/>
    </w:pPr>
    <w:rPr>
      <w:rFonts w:ascii="Arial" w:hAnsi="Arial" w:cs="Arial"/>
      <w:lang w:val="ru-RU" w:eastAsia="ru-RU" w:bidi="ar-SA"/>
    </w:rPr>
  </w:style>
  <w:style w:type="character" w:styleId="826" w:default="1">
    <w:name w:val="Default Paragraph Font"/>
    <w:uiPriority w:val="1"/>
    <w:semiHidden/>
    <w:unhideWhenUsed/>
  </w:style>
  <w:style w:type="numbering" w:styleId="827" w:default="1">
    <w:name w:val="No List"/>
    <w:uiPriority w:val="99"/>
    <w:semiHidden/>
    <w:unhideWhenUsed/>
  </w:style>
  <w:style w:type="table" w:styleId="82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Р7-Офис/7.2.0.134</Application>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Законом  Самарской области от 26</dc:title>
  <dc:creator>Expert</dc:creator>
  <cp:revision>25</cp:revision>
  <dcterms:created xsi:type="dcterms:W3CDTF">2019-02-14T05:17:00Z</dcterms:created>
  <dcterms:modified xsi:type="dcterms:W3CDTF">2023-12-22T05:30:07Z</dcterms:modified>
  <cp:version>786432</cp:version>
</cp:coreProperties>
</file>