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0"/>
      </w:tblGrid>
      <w:tr w:rsidR="00C4662C">
        <w:trPr>
          <w:trHeight w:val="202"/>
        </w:trPr>
        <w:tc>
          <w:tcPr>
            <w:tcW w:w="5420" w:type="dxa"/>
          </w:tcPr>
          <w:p w:rsidR="00C4662C" w:rsidRDefault="00CF4AE7">
            <w:pPr>
              <w:spacing w:line="240" w:lineRule="auto"/>
              <w:jc w:val="both"/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  Документы, подтверждающие расходы на первый год жизни ребенка: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1.Наличие кассового чека. С 01.02.2021 года во всех чеках ККМ должна отражаться полная информация о товаре (наименование, цена, количество). Если информации недостаточно, к чеку ККМ необходим товарный чек. В товарных чеках не должно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исправлений, дописок и подчисток, итоговая сумма должна быть указана прописью и обязательно подпись и расшифровка подписи (ФИО) продавца.                        2.Информация о товаре должна позволять определить, что расходы произведены на ребенка первого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жизни. А именно: если приобретены памперсы, то в чеке должен указываться размер памперса или вес ребенка; если одежда, то размеры; если продукты, то должен быть указан возраст ребенка, с какого можно употреблять продукт.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- П. 1 относится и к документам, подтверждающим расходы на ремонт жилого помещения</w:t>
            </w:r>
            <w:r>
              <w:t>.</w:t>
            </w:r>
          </w:p>
          <w:p w:rsidR="00C4662C" w:rsidRDefault="00CF4AE7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 знаком «*» Управление  направляет межведомственные запросы   в случае, если указанные документы не были представлены заявителем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самостоятельно.</w:t>
            </w:r>
          </w:p>
          <w:p w:rsidR="00C4662C" w:rsidRDefault="00CF4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всем  вопросам</w:t>
            </w: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обращаться в </w:t>
            </w:r>
            <w:r>
              <w:rPr>
                <w:rFonts w:ascii="Times New Roman" w:eastAsia="Times New Roman" w:hAnsi="Times New Roman"/>
                <w:sz w:val="28"/>
              </w:rPr>
              <w:t>Управление по муниципальному району Большеглушицкий ГКУ СО «ГУСЗН Южного округа»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находящееся по адресу:</w:t>
            </w: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с.Большая Глушица , ул.Гагарина д.27</w:t>
            </w: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 7, № 15, тел. 2-13-07; 2-13-08.</w:t>
            </w: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Режим работы:</w:t>
            </w: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понедельник –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пятница</w:t>
            </w: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 8.00 до 16.12</w:t>
            </w: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обед с 12.00 до 13.00</w:t>
            </w:r>
          </w:p>
          <w:p w:rsidR="00C4662C" w:rsidRDefault="00C4662C">
            <w:pPr>
              <w:spacing w:after="0" w:line="240" w:lineRule="auto"/>
              <w:rPr>
                <w:sz w:val="32"/>
                <w:szCs w:val="32"/>
              </w:rPr>
            </w:pPr>
          </w:p>
          <w:p w:rsidR="00C4662C" w:rsidRDefault="00C4662C">
            <w:pPr>
              <w:spacing w:after="0" w:line="240" w:lineRule="auto"/>
              <w:rPr>
                <w:sz w:val="32"/>
                <w:szCs w:val="32"/>
              </w:rPr>
            </w:pPr>
          </w:p>
          <w:p w:rsidR="00C4662C" w:rsidRDefault="00C4662C">
            <w:pPr>
              <w:spacing w:after="0" w:line="240" w:lineRule="auto"/>
              <w:jc w:val="center"/>
              <w:rPr>
                <w:rFonts w:ascii="Century" w:hAnsi="Century" w:cs="Gautami"/>
                <w:b/>
                <w:bCs/>
                <w:i/>
                <w:color w:val="FF0000"/>
                <w:sz w:val="36"/>
                <w:szCs w:val="36"/>
              </w:rPr>
            </w:pPr>
          </w:p>
          <w:p w:rsidR="00C4662C" w:rsidRDefault="00CF4AE7">
            <w:pPr>
              <w:spacing w:after="0" w:line="240" w:lineRule="auto"/>
              <w:jc w:val="center"/>
              <w:rPr>
                <w:rFonts w:ascii="Century" w:hAnsi="Century" w:cs="Gautami"/>
                <w:b/>
                <w:bCs/>
                <w:i/>
                <w:color w:val="FF0000"/>
                <w:sz w:val="36"/>
                <w:szCs w:val="36"/>
              </w:rPr>
            </w:pPr>
            <w:r>
              <w:rPr>
                <w:rFonts w:ascii="Century" w:hAnsi="Century" w:cs="Gautami"/>
                <w:b/>
                <w:i/>
                <w:color w:val="FF0000"/>
                <w:sz w:val="36"/>
                <w:szCs w:val="36"/>
              </w:rPr>
              <w:t>СЕМЕЙНЫЙ КАПИТАЛ</w:t>
            </w:r>
          </w:p>
          <w:p w:rsidR="00C4662C" w:rsidRDefault="00C4662C">
            <w:pPr>
              <w:spacing w:after="0" w:line="240" w:lineRule="auto"/>
              <w:rPr>
                <w:sz w:val="32"/>
                <w:szCs w:val="32"/>
              </w:rPr>
            </w:pPr>
          </w:p>
          <w:p w:rsidR="00C4662C" w:rsidRDefault="00CF4A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:rsidR="00C4662C" w:rsidRDefault="00CF4A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</w:p>
          <w:p w:rsidR="00C4662C" w:rsidRDefault="00CF4AE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C4662C" w:rsidRDefault="00CF4A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42196" cy="389208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42196" cy="389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47.4pt;height:306.5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C4662C" w:rsidRDefault="00CF4AE7">
            <w:pPr>
              <w:spacing w:after="0" w:line="240" w:lineRule="auto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              </w:t>
            </w:r>
          </w:p>
          <w:p w:rsidR="00C4662C" w:rsidRDefault="00CF4AE7">
            <w:pPr>
              <w:spacing w:after="0" w:line="240" w:lineRule="auto"/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>- А  Я   ТРЕТИЙ …</w:t>
            </w:r>
          </w:p>
          <w:p w:rsidR="00C4662C" w:rsidRDefault="00C4662C">
            <w:pPr>
              <w:spacing w:after="0" w:line="240" w:lineRule="auto"/>
            </w:pPr>
          </w:p>
          <w:p w:rsidR="00C4662C" w:rsidRDefault="00C4662C">
            <w:pPr>
              <w:spacing w:after="0" w:line="240" w:lineRule="auto"/>
            </w:pPr>
          </w:p>
          <w:p w:rsidR="00C4662C" w:rsidRDefault="00C4662C">
            <w:pPr>
              <w:spacing w:after="0" w:line="240" w:lineRule="auto"/>
            </w:pPr>
          </w:p>
          <w:p w:rsidR="00C4662C" w:rsidRDefault="00C4662C">
            <w:pPr>
              <w:spacing w:after="0" w:line="240" w:lineRule="auto"/>
            </w:pPr>
          </w:p>
          <w:p w:rsidR="00C4662C" w:rsidRDefault="00C4662C">
            <w:pPr>
              <w:spacing w:after="0" w:line="240" w:lineRule="auto"/>
            </w:pPr>
          </w:p>
          <w:p w:rsidR="00C4662C" w:rsidRDefault="00C4662C">
            <w:pPr>
              <w:spacing w:after="0" w:line="240" w:lineRule="auto"/>
            </w:pPr>
          </w:p>
          <w:p w:rsidR="00C4662C" w:rsidRDefault="00C4662C">
            <w:pPr>
              <w:spacing w:after="0" w:line="240" w:lineRule="auto"/>
            </w:pPr>
          </w:p>
          <w:p w:rsidR="00C4662C" w:rsidRDefault="00C4662C">
            <w:pPr>
              <w:spacing w:after="0" w:line="240" w:lineRule="auto"/>
            </w:pPr>
          </w:p>
          <w:p w:rsidR="00C4662C" w:rsidRDefault="00CF4AE7">
            <w:pPr>
              <w:spacing w:after="0" w:line="240" w:lineRule="auto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524288" behindDoc="1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109855</wp:posOffset>
                      </wp:positionV>
                      <wp:extent cx="800100" cy="762000"/>
                      <wp:effectExtent l="0" t="0" r="0" b="0"/>
                      <wp:wrapTight wrapText="bothSides">
                        <wp:wrapPolygon edited="1">
                          <wp:start x="8743" y="540"/>
                          <wp:lineTo x="6429" y="1080"/>
                          <wp:lineTo x="1800" y="4050"/>
                          <wp:lineTo x="0" y="9180"/>
                          <wp:lineTo x="257" y="13500"/>
                          <wp:lineTo x="2829" y="18360"/>
                          <wp:lineTo x="6943" y="20790"/>
                          <wp:lineTo x="7714" y="20790"/>
                          <wp:lineTo x="12857" y="20790"/>
                          <wp:lineTo x="13628" y="20790"/>
                          <wp:lineTo x="17743" y="18360"/>
                          <wp:lineTo x="20314" y="13500"/>
                          <wp:lineTo x="20571" y="9180"/>
                          <wp:lineTo x="19029" y="5130"/>
                          <wp:lineTo x="19029" y="4050"/>
                          <wp:lineTo x="14143" y="1080"/>
                          <wp:lineTo x="11829" y="540"/>
                          <wp:lineTo x="8743" y="540"/>
                        </wp:wrapPolygon>
                      </wp:wrapTight>
                      <wp:docPr id="2" name="Рисунок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01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524288;o:allowoverlap:true;o:allowincell:true;mso-position-horizontal-relative:text;margin-left:94.9pt;mso-position-horizontal:absolute;mso-position-vertical-relative:text;margin-top:8.7pt;mso-position-vertical:absolute;width:63.0pt;height:60.0pt;mso-wrap-distance-left:9.0pt;mso-wrap-distance-top:0.0pt;mso-wrap-distance-right:9.0pt;mso-wrap-distance-bottom:0.0pt;" wrapcoords="40477 2500 29764 5000 8333 18750 0 42500 1190 62500 13097 85000 32144 96250 35713 96250 59523 96250 63093 96250 82144 85000 94046 62500 95236 42500 88097 23750 88097 18750 65477 5000 54764 2500 40477 2500" stroked="f">
                      <v:path textboxrect="0,0,0,0"/>
                      <w10:wrap type="tight"/>
                      <v:imagedata r:id="rId11" o:title=""/>
                    </v:shape>
                  </w:pict>
                </mc:Fallback>
              </mc:AlternateContent>
            </w:r>
          </w:p>
          <w:p w:rsidR="00C4662C" w:rsidRDefault="00C4662C">
            <w:pPr>
              <w:spacing w:after="0" w:line="240" w:lineRule="auto"/>
            </w:pPr>
          </w:p>
          <w:p w:rsidR="00C4662C" w:rsidRDefault="00C4662C">
            <w:pPr>
              <w:spacing w:after="0" w:line="240" w:lineRule="auto"/>
            </w:pPr>
          </w:p>
          <w:p w:rsidR="00C4662C" w:rsidRDefault="00C4662C">
            <w:pPr>
              <w:spacing w:after="0" w:line="240" w:lineRule="auto"/>
            </w:pPr>
          </w:p>
          <w:p w:rsidR="00C4662C" w:rsidRDefault="00C4662C">
            <w:pPr>
              <w:spacing w:after="0" w:line="240" w:lineRule="auto"/>
              <w:jc w:val="center"/>
              <w:rPr>
                <w:rFonts w:ascii="Times New Roman" w:hAnsi="Times New Roman" w:cs="Gautami"/>
                <w:i/>
                <w:sz w:val="28"/>
                <w:szCs w:val="28"/>
              </w:rPr>
            </w:pPr>
          </w:p>
          <w:p w:rsidR="00C4662C" w:rsidRDefault="00C4662C">
            <w:pPr>
              <w:spacing w:after="0" w:line="240" w:lineRule="auto"/>
              <w:jc w:val="center"/>
              <w:rPr>
                <w:rFonts w:ascii="Times New Roman" w:hAnsi="Times New Roman" w:cs="Gautami"/>
                <w:i/>
                <w:sz w:val="28"/>
                <w:szCs w:val="28"/>
              </w:rPr>
            </w:pP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Государственное казенное учреждение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Самарской области</w:t>
            </w:r>
          </w:p>
          <w:p w:rsidR="00C4662C" w:rsidRDefault="00CF4AE7">
            <w:pPr>
              <w:keepNext/>
              <w:tabs>
                <w:tab w:val="left" w:pos="5245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«ГЛАВНОЕ УПРАВЛЕНИЕ СОЦИАЛЬНОЙ ЗАЩИТЫ НАСЕЛЕНИЯ </w:t>
            </w:r>
          </w:p>
          <w:p w:rsidR="00C4662C" w:rsidRDefault="00CF4AE7">
            <w:pPr>
              <w:keepNext/>
              <w:tabs>
                <w:tab w:val="left" w:pos="5245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ЮЖНОГО ОКРУГА»</w:t>
            </w: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</w:rPr>
              <w:t>Управление по муниципальному району Большеглушицкий</w:t>
            </w:r>
          </w:p>
          <w:p w:rsidR="00C4662C" w:rsidRDefault="00C4662C">
            <w:pPr>
              <w:spacing w:after="0" w:line="240" w:lineRule="auto"/>
            </w:pPr>
          </w:p>
          <w:p w:rsidR="00C4662C" w:rsidRDefault="00C4662C">
            <w:pPr>
              <w:spacing w:after="0" w:line="240" w:lineRule="auto"/>
            </w:pPr>
          </w:p>
          <w:p w:rsidR="00C4662C" w:rsidRDefault="00CF4AE7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   </w:t>
            </w:r>
          </w:p>
          <w:p w:rsidR="00C4662C" w:rsidRDefault="00CF4AE7">
            <w:pPr>
              <w:spacing w:after="0" w:line="240" w:lineRule="auto"/>
              <w:jc w:val="center"/>
              <w:rPr>
                <w:rFonts w:ascii="Comic Sans MS" w:hAnsi="Comic Sans MS" w:cs="Gautami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Comic Sans MS" w:hAnsi="Comic Sans MS" w:cs="Gautami"/>
                <w:b/>
                <w:i/>
                <w:color w:val="FF0000"/>
                <w:sz w:val="40"/>
                <w:szCs w:val="40"/>
              </w:rPr>
              <w:t>Единовременная денежная выплата</w:t>
            </w:r>
          </w:p>
          <w:p w:rsidR="00C4662C" w:rsidRDefault="00CF4AE7">
            <w:pPr>
              <w:spacing w:after="0" w:line="240" w:lineRule="auto"/>
              <w:jc w:val="center"/>
              <w:rPr>
                <w:rFonts w:ascii="Comic Sans MS" w:hAnsi="Comic Sans MS" w:cs="Gautami"/>
                <w:i/>
                <w:color w:val="FF0000"/>
                <w:sz w:val="40"/>
                <w:szCs w:val="40"/>
              </w:rPr>
            </w:pPr>
            <w:r>
              <w:rPr>
                <w:rFonts w:ascii="Comic Sans MS" w:hAnsi="Comic Sans MS" w:cs="Gautami"/>
                <w:b/>
                <w:i/>
                <w:color w:val="FF0000"/>
                <w:sz w:val="40"/>
                <w:szCs w:val="40"/>
              </w:rPr>
              <w:t>(семейный капитал)</w:t>
            </w:r>
          </w:p>
          <w:p w:rsidR="00C4662C" w:rsidRDefault="00CF4AE7">
            <w:pPr>
              <w:spacing w:after="0" w:line="240" w:lineRule="auto"/>
              <w:rPr>
                <w:rFonts w:ascii="Comic Sans MS" w:hAnsi="Comic Sans MS" w:cs="Gautami"/>
                <w:i/>
                <w:sz w:val="40"/>
                <w:szCs w:val="40"/>
              </w:rPr>
            </w:pPr>
            <w:r>
              <w:rPr>
                <w:rFonts w:ascii="Comic Sans MS" w:hAnsi="Comic Sans MS" w:cs="Gautami"/>
                <w:i/>
                <w:sz w:val="40"/>
                <w:szCs w:val="40"/>
              </w:rPr>
              <w:t xml:space="preserve">                          </w:t>
            </w:r>
          </w:p>
          <w:p w:rsidR="00C4662C" w:rsidRDefault="00C4662C">
            <w:pPr>
              <w:spacing w:after="0" w:line="240" w:lineRule="auto"/>
              <w:rPr>
                <w:sz w:val="24"/>
                <w:szCs w:val="24"/>
              </w:rPr>
            </w:pPr>
          </w:p>
          <w:p w:rsidR="00C4662C" w:rsidRDefault="00C4662C">
            <w:pPr>
              <w:spacing w:after="0" w:line="240" w:lineRule="auto"/>
              <w:rPr>
                <w:sz w:val="24"/>
                <w:szCs w:val="24"/>
              </w:rPr>
            </w:pPr>
          </w:p>
          <w:p w:rsidR="00C4662C" w:rsidRDefault="00C4662C">
            <w:pPr>
              <w:spacing w:after="0" w:line="240" w:lineRule="auto"/>
              <w:rPr>
                <w:sz w:val="24"/>
                <w:szCs w:val="24"/>
              </w:rPr>
            </w:pPr>
          </w:p>
          <w:p w:rsidR="00C4662C" w:rsidRDefault="00CF4A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  <w:p w:rsidR="00C4662C" w:rsidRDefault="00C4662C">
            <w:pPr>
              <w:spacing w:after="0" w:line="240" w:lineRule="auto"/>
              <w:rPr>
                <w:sz w:val="24"/>
                <w:szCs w:val="24"/>
              </w:rPr>
            </w:pPr>
          </w:p>
          <w:p w:rsidR="00C4662C" w:rsidRDefault="00C4662C">
            <w:pPr>
              <w:spacing w:after="0" w:line="240" w:lineRule="auto"/>
              <w:rPr>
                <w:sz w:val="24"/>
                <w:szCs w:val="24"/>
              </w:rPr>
            </w:pPr>
          </w:p>
          <w:p w:rsidR="00C4662C" w:rsidRDefault="00C4662C">
            <w:pPr>
              <w:spacing w:after="0" w:line="240" w:lineRule="auto"/>
              <w:rPr>
                <w:rFonts w:cs="Gautami"/>
                <w:i/>
                <w:sz w:val="28"/>
                <w:szCs w:val="28"/>
              </w:rPr>
            </w:pPr>
          </w:p>
          <w:p w:rsidR="00C4662C" w:rsidRDefault="00C4662C">
            <w:pPr>
              <w:spacing w:after="0" w:line="240" w:lineRule="auto"/>
              <w:rPr>
                <w:rFonts w:ascii="Gautami" w:hAnsi="Gautami" w:cs="Gautami"/>
                <w:i/>
                <w:sz w:val="24"/>
                <w:szCs w:val="24"/>
              </w:rPr>
            </w:pPr>
          </w:p>
          <w:p w:rsidR="00C4662C" w:rsidRDefault="00C4662C">
            <w:pPr>
              <w:spacing w:after="0" w:line="240" w:lineRule="auto"/>
              <w:rPr>
                <w:sz w:val="24"/>
                <w:szCs w:val="24"/>
              </w:rPr>
            </w:pPr>
          </w:p>
          <w:p w:rsidR="00C4662C" w:rsidRDefault="00C4662C">
            <w:pPr>
              <w:spacing w:after="0" w:line="240" w:lineRule="auto"/>
              <w:rPr>
                <w:sz w:val="24"/>
                <w:szCs w:val="24"/>
              </w:rPr>
            </w:pPr>
          </w:p>
          <w:p w:rsidR="00C4662C" w:rsidRDefault="00C466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662C" w:rsidRDefault="00C466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662C" w:rsidRDefault="00C466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662C" w:rsidRDefault="00C466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 Самарской области от 16.07. 2004г.</w:t>
            </w: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122-ГД « О государственной поддержке граждан,  имеющих детей»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Основными получателями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единовременной денежной выплаты (семейный капитал)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являются граждане Российской Федерации, постоянно проживающие на территории Самарской области: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женщины, родившие (усыновившие)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третьего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или последующих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после 30 ноября 2011 г.;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2.</w:t>
            </w:r>
            <w:r>
              <w:rPr>
                <w:rFonts w:ascii="Times New Roman" w:hAnsi="Times New Roman"/>
                <w:sz w:val="24"/>
                <w:szCs w:val="24"/>
              </w:rPr>
              <w:t>мужчины,    являющиеся     единст</w:t>
            </w:r>
            <w:r>
              <w:rPr>
                <w:rFonts w:ascii="Times New Roman" w:hAnsi="Times New Roman"/>
                <w:sz w:val="24"/>
                <w:szCs w:val="24"/>
              </w:rPr>
              <w:t>вен-ными усыновителями третьего ребенка или последующих детей, если решение суда об усыновлении вступило в законную силу после 30 ноября 2011 г.;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3</w:t>
            </w:r>
            <w:r>
              <w:rPr>
                <w:rFonts w:ascii="Times New Roman" w:hAnsi="Times New Roman"/>
              </w:rPr>
              <w:t>.мужчины, являющиеся отцами (усыновителями) третьего ребенка или последующих детей, в том случае, есл</w:t>
            </w:r>
            <w:r>
              <w:rPr>
                <w:rFonts w:ascii="Times New Roman" w:hAnsi="Times New Roman"/>
              </w:rPr>
              <w:t>и женщина, родившая третьего ребенка или последующих детей, не получила семейный капитал в случае ее смерти или лишения родительских прав.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Единовременная денежная выплата (семейный капитал) устанавливается в размере 100 000 рублей и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носит компенсац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ионный характер - то есть возмещает расходы  по следующим направлениям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погашение кредита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приобретение жилья (основного долга и (или) уплаты процентов по нему) или компенсация части собственных средств, потраченных на  приобретение жилья;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едение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жилого помещения;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3.оплата услуг за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содержание ребенка (детей) заявителя в образовательных организациях, реализующих основную общеобразовательную программу дошкольного образования на территории Самарской области;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бенком (детьми) заявителя и (или)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самим заявителем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платного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организациях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профессионального образования, имеющих гос. аккредитацию и находящихся на территории РФ;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ребенком (детьми) заявителя и (или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самим заявителем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платных медицинских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приобретение транспортного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приобретение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необходимых для ухода и развития детей первого года жизни </w:t>
            </w:r>
            <w:r>
              <w:rPr>
                <w:rFonts w:ascii="Times New Roman" w:hAnsi="Times New Roman"/>
                <w:sz w:val="24"/>
                <w:szCs w:val="24"/>
              </w:rPr>
              <w:t>(мебель, детская коляска, детская одежда, продукты питания, средства гигиены, детская удерживающая система (устройство)), осуществляется на основании кассовых и (или) товарных чеков, подтверждающих виды и объемы понесенных расходов).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      Обращение за на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значением выплаты возможно при достижении третьим ребенком или последующими детьми возраста одного года.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Исключение составляет предоставление семейного капитала на приобретение предметов, необходимых для ухода и развития детей первого года жизни. В этом 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учае обратиться за выплатой можно сразу после рождения ребенка.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Единовременной денежной выплатой возмещаются только те расходы заявителя, которые возникли у него не более чем за три года до момента обращения за их компенсацией.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Распоряжение с</w:t>
            </w:r>
            <w:r>
              <w:rPr>
                <w:rFonts w:ascii="Times New Roman" w:hAnsi="Times New Roman"/>
                <w:sz w:val="24"/>
                <w:szCs w:val="24"/>
              </w:rPr>
              <w:t>редствами семейного капитала может осуществляться заявителями одновременно по нескольким направлениям.</w:t>
            </w: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Семейный капитал назначается на основании:</w:t>
            </w:r>
          </w:p>
          <w:p w:rsidR="00C4662C" w:rsidRDefault="00CF4AE7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1.заявления с</w:t>
            </w:r>
            <w:r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указанием направлений расходова-ния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 также * сведений о совместном проживании ребенка (детей</w:t>
            </w:r>
            <w:r>
              <w:rPr>
                <w:rFonts w:ascii="Times New Roman" w:hAnsi="Times New Roman"/>
                <w:sz w:val="24"/>
                <w:szCs w:val="24"/>
              </w:rPr>
              <w:t>) с заявителем;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2.документа, удостоверяющего личность заявителя;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*- свидетельств о рождении детей;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совместной регистрации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месту жительства заявителя и детей заявитель представляет иные сведения (документы), подтверждающие факт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совместного проживания заявителя с детьми (решение суда, договор найма жилого помещения).</w:t>
            </w:r>
          </w:p>
          <w:p w:rsidR="00C4662C" w:rsidRDefault="00C4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62C" w:rsidRDefault="00CF4AE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Дополнительно предоставляются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следующие документы в зависимости от выбранного направления:</w:t>
            </w:r>
          </w:p>
          <w:p w:rsidR="00C4662C" w:rsidRDefault="00C4662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C4662C" w:rsidRDefault="00C4662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C4662C" w:rsidRDefault="00C4662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1.   на приобретение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договор купли –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родажи жилого помещения; кредитный договор и квитанции, подтверждающие внесение оплаты по кредиту; 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документ, подтверждающий право собственности на жилое помещение возникшее после 01.12.2011 г.</w:t>
            </w:r>
            <w:r>
              <w:t>.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2. на ремонт жилого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помещения </w:t>
            </w:r>
            <w:r>
              <w:rPr>
                <w:rFonts w:ascii="Times New Roman" w:hAnsi="Times New Roman"/>
                <w:sz w:val="24"/>
                <w:szCs w:val="24"/>
              </w:rPr>
              <w:t>-  кассовые и (или) тов</w:t>
            </w:r>
            <w:r>
              <w:rPr>
                <w:rFonts w:ascii="Times New Roman" w:hAnsi="Times New Roman"/>
                <w:sz w:val="24"/>
                <w:szCs w:val="24"/>
              </w:rPr>
              <w:t>арные чеки, акта о выполненных работах, подтверждающих виды и  (или) объем понесенных расходов.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3.   на  оплату услуг за  образование и содержание ребенка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дошкольного образования 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  <w:r>
              <w:rPr>
                <w:rFonts w:ascii="Times New Roman" w:hAnsi="Times New Roman"/>
                <w:sz w:val="24"/>
                <w:szCs w:val="24"/>
              </w:rPr>
              <w:t>договор на оказание платных образовательных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-*лицензия на право осуществления образовательной деятельности; 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квитанции об оплате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  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4. на получение ребенком или самим заявителем платного профессионального образования 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оказании платных образовательных услуг; 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копия свидетельства о гос. аккредитации образовательной деятельности; 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кассовые и (или) товарные чеки, приходные кассовые ордера  и иные документы</w:t>
            </w:r>
            <w:r>
              <w:t>.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5. на получение платных мед. услуг 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 </w:t>
            </w:r>
            <w:r>
              <w:rPr>
                <w:rFonts w:ascii="Times New Roman" w:hAnsi="Times New Roman"/>
              </w:rPr>
              <w:t xml:space="preserve">-    документ </w:t>
            </w:r>
            <w:r>
              <w:rPr>
                <w:rFonts w:ascii="Times New Roman" w:hAnsi="Times New Roman"/>
              </w:rPr>
              <w:t>медорганизации о получении платных медицинских услуг;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* сведения о наличии   ИП реабилитации (абилитации) и о содержащихся в ней мероприятий;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документы, подтверждающие вид и объем понесенных расходов, связанных с реализацией ИПР;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* заключение медорга</w:t>
            </w:r>
            <w:r>
              <w:rPr>
                <w:rFonts w:ascii="Times New Roman" w:hAnsi="Times New Roman"/>
              </w:rPr>
              <w:t>низации о нуждаемости в  ТСР;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* документоы, подтверждающие вид и объем понесенных расходов на указанные ТСР</w:t>
            </w:r>
            <w:r>
              <w:t>.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6.на приобретение транспортного средства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паспорт транспортного средства;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договор купли-продажи транспортного средства; </w:t>
            </w:r>
          </w:p>
          <w:p w:rsidR="00C4662C" w:rsidRDefault="00CF4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кассов</w:t>
            </w:r>
            <w:r>
              <w:rPr>
                <w:rFonts w:ascii="Times New Roman" w:hAnsi="Times New Roman"/>
                <w:sz w:val="24"/>
                <w:szCs w:val="24"/>
              </w:rPr>
              <w:t>ые и (или) товарные чеки, приходные кассовые ордера и иные документы.</w:t>
            </w:r>
          </w:p>
          <w:p w:rsidR="00C4662C" w:rsidRDefault="00C46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F4AE7" w:rsidRDefault="00CF4AE7"/>
    <w:sectPr w:rsidR="00CF4AE7">
      <w:pgSz w:w="16838" w:h="11906" w:orient="landscape"/>
      <w:pgMar w:top="283" w:right="283" w:bottom="283" w:left="567" w:header="709" w:footer="709" w:gutter="0"/>
      <w:cols w:num="3" w:space="3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E7" w:rsidRDefault="00CF4AE7">
      <w:pPr>
        <w:spacing w:after="0" w:line="240" w:lineRule="auto"/>
      </w:pPr>
      <w:r>
        <w:separator/>
      </w:r>
    </w:p>
  </w:endnote>
  <w:endnote w:type="continuationSeparator" w:id="0">
    <w:p w:rsidR="00CF4AE7" w:rsidRDefault="00CF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utami">
    <w:altName w:val="New York"/>
    <w:panose1 w:val="02000500000000000000"/>
    <w:charset w:val="01"/>
    <w:family w:val="roman"/>
    <w:notTrueType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E7" w:rsidRDefault="00CF4AE7">
      <w:pPr>
        <w:spacing w:after="0" w:line="240" w:lineRule="auto"/>
      </w:pPr>
      <w:r>
        <w:separator/>
      </w:r>
    </w:p>
  </w:footnote>
  <w:footnote w:type="continuationSeparator" w:id="0">
    <w:p w:rsidR="00CF4AE7" w:rsidRDefault="00CF4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73EF"/>
    <w:multiLevelType w:val="hybridMultilevel"/>
    <w:tmpl w:val="D744DDCA"/>
    <w:lvl w:ilvl="0" w:tplc="4768D4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23ECC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EA05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23442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77868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2EC50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9247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64F9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DE24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46C0063F"/>
    <w:multiLevelType w:val="hybridMultilevel"/>
    <w:tmpl w:val="B5BEB19A"/>
    <w:lvl w:ilvl="0" w:tplc="02527D9E">
      <w:start w:val="1"/>
      <w:numFmt w:val="decimal"/>
      <w:lvlText w:val="%1."/>
      <w:lvlJc w:val="left"/>
      <w:pPr>
        <w:ind w:left="1068" w:hanging="360"/>
      </w:pPr>
    </w:lvl>
    <w:lvl w:ilvl="1" w:tplc="B1F49468">
      <w:start w:val="1"/>
      <w:numFmt w:val="lowerLetter"/>
      <w:lvlText w:val="%2."/>
      <w:lvlJc w:val="left"/>
      <w:pPr>
        <w:ind w:left="1788" w:hanging="360"/>
      </w:pPr>
    </w:lvl>
    <w:lvl w:ilvl="2" w:tplc="BEEA87A4">
      <w:start w:val="1"/>
      <w:numFmt w:val="lowerRoman"/>
      <w:lvlText w:val="%3."/>
      <w:lvlJc w:val="right"/>
      <w:pPr>
        <w:ind w:left="2508" w:hanging="180"/>
      </w:pPr>
    </w:lvl>
    <w:lvl w:ilvl="3" w:tplc="FF32E710">
      <w:start w:val="1"/>
      <w:numFmt w:val="decimal"/>
      <w:lvlText w:val="%4."/>
      <w:lvlJc w:val="left"/>
      <w:pPr>
        <w:ind w:left="3228" w:hanging="360"/>
      </w:pPr>
    </w:lvl>
    <w:lvl w:ilvl="4" w:tplc="D4821AD4">
      <w:start w:val="1"/>
      <w:numFmt w:val="lowerLetter"/>
      <w:lvlText w:val="%5."/>
      <w:lvlJc w:val="left"/>
      <w:pPr>
        <w:ind w:left="3948" w:hanging="360"/>
      </w:pPr>
    </w:lvl>
    <w:lvl w:ilvl="5" w:tplc="A6381DEE">
      <w:start w:val="1"/>
      <w:numFmt w:val="lowerRoman"/>
      <w:lvlText w:val="%6."/>
      <w:lvlJc w:val="right"/>
      <w:pPr>
        <w:ind w:left="4668" w:hanging="180"/>
      </w:pPr>
    </w:lvl>
    <w:lvl w:ilvl="6" w:tplc="7B94761A">
      <w:start w:val="1"/>
      <w:numFmt w:val="decimal"/>
      <w:lvlText w:val="%7."/>
      <w:lvlJc w:val="left"/>
      <w:pPr>
        <w:ind w:left="5388" w:hanging="360"/>
      </w:pPr>
    </w:lvl>
    <w:lvl w:ilvl="7" w:tplc="4EB873AA">
      <w:start w:val="1"/>
      <w:numFmt w:val="lowerLetter"/>
      <w:lvlText w:val="%8."/>
      <w:lvlJc w:val="left"/>
      <w:pPr>
        <w:ind w:left="6108" w:hanging="360"/>
      </w:pPr>
    </w:lvl>
    <w:lvl w:ilvl="8" w:tplc="9F9A46D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2C"/>
    <w:rsid w:val="003E010E"/>
    <w:rsid w:val="00C4662C"/>
    <w:rsid w:val="00C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lang w:eastAsia="ru-RU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pPr>
      <w:widowControl w:val="0"/>
    </w:pPr>
    <w:rPr>
      <w:rFonts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lang w:eastAsia="ru-RU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pPr>
      <w:widowControl w:val="0"/>
    </w:pPr>
    <w:rPr>
      <w:rFonts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2023-02-09T06:15:00Z</dcterms:created>
  <dcterms:modified xsi:type="dcterms:W3CDTF">2023-02-09T06:15:00Z</dcterms:modified>
  <cp:version>786432</cp:version>
</cp:coreProperties>
</file>