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line="256" w:lineRule="auto"/>
        <w:ind w:firstLine="709"/>
        <w:jc w:val="both"/>
        <w:rPr>
          <w:b w:val="1"/>
        </w:rPr>
      </w:pPr>
      <w:r>
        <w:rPr>
          <w:b w:val="1"/>
        </w:rPr>
        <w:t>Прокурор поддержал государственное обвинение в отношении безответственного отца, который задолжал несовершеннолетней дочери алименты на общую сумму более 2 574 800 рублей.</w:t>
      </w:r>
    </w:p>
    <w:p w14:paraId="07000000">
      <w:pPr>
        <w:widowControl w:val="1"/>
        <w:spacing w:line="256" w:lineRule="auto"/>
        <w:ind w:firstLine="709"/>
        <w:jc w:val="both"/>
      </w:pPr>
      <w:r>
        <w:t xml:space="preserve">Прокуратура Большеглушицкого района Самарской области поддержала государственное обвинение по уголовному делу в отношении 46-летнего местного жителя. Он признан виновным по ч.1 ст.157 УК РФ </w:t>
      </w:r>
      <w:r>
        <w:t>(</w:t>
      </w:r>
      <w:r>
        <w:t>неуплата без уважительных причин в нарушение решения суда средств на содержание несовершеннолетних</w:t>
      </w:r>
      <w:r>
        <w:t xml:space="preserve"> детей).</w:t>
      </w:r>
    </w:p>
    <w:p w14:paraId="08000000">
      <w:pPr>
        <w:widowControl w:val="1"/>
        <w:spacing w:line="256" w:lineRule="auto"/>
        <w:ind w:firstLine="709"/>
        <w:jc w:val="both"/>
      </w:pPr>
      <w:r>
        <w:t>Установлено, что в 2013 году решением суда на мужчину возложена обязанность выплачивать алименты в пользу его несовершеннолетних дочерей 2006 и 2009 года рождения</w:t>
      </w:r>
      <w:r>
        <w:t xml:space="preserve"> в размере 1/3 от всех видов заработка. </w:t>
      </w:r>
    </w:p>
    <w:p w14:paraId="09000000">
      <w:pPr>
        <w:widowControl w:val="1"/>
        <w:spacing w:line="256" w:lineRule="auto"/>
        <w:ind w:firstLine="709"/>
        <w:jc w:val="both"/>
      </w:pPr>
      <w:r>
        <w:t>Несмотря на вменен</w:t>
      </w:r>
      <w:r>
        <w:rPr>
          <w:rStyle w:val="Style_4_ch"/>
        </w:rPr>
        <w:t>ную судом обязанность, подсудимый уклонился от исполнения своих родительских обязанностей по содержанию ребенка.</w:t>
      </w:r>
      <w:r>
        <w:rPr>
          <w:rStyle w:val="Style_4_ch"/>
        </w:rPr>
        <w:t xml:space="preserve"> Сумма долга по алиментным обязательствам за последние несколько лет составила </w:t>
      </w:r>
      <w:r>
        <w:rPr>
          <w:rStyle w:val="Style_4_ch"/>
        </w:rPr>
        <w:t>более 2 574 800 рублей.</w:t>
      </w:r>
    </w:p>
    <w:p w14:paraId="0A000000">
      <w:pPr>
        <w:widowControl w:val="1"/>
        <w:spacing w:line="256" w:lineRule="auto"/>
        <w:ind w:firstLine="709"/>
        <w:jc w:val="both"/>
      </w:pPr>
      <w:r>
        <w:t xml:space="preserve">С учетом мнения прокурора и обстоятельств дела суд назначил виновному наказание в виде лишения свободы сроком на 6 месяцев условно с испытательным сроком в 1 год. Судом на осужденного возложена обязанность в течение месяца со дня вступления приговора суда в законную силу </w:t>
      </w:r>
      <w:r>
        <w:rPr>
          <w:rStyle w:val="Style_4_ch"/>
        </w:rPr>
        <w:t>трудоустроиться или встать на учет в центр занятости населения в качестве безработного</w:t>
      </w:r>
      <w:r>
        <w:rPr>
          <w:sz w:val="24"/>
        </w:rPr>
        <w:t>.</w:t>
      </w:r>
    </w:p>
    <w:p w14:paraId="0B000000">
      <w:pPr>
        <w:widowControl w:val="1"/>
        <w:spacing w:line="256" w:lineRule="auto"/>
        <w:ind w:firstLine="709"/>
        <w:jc w:val="both"/>
      </w:pPr>
      <w:r>
        <w:t>Судебный акт не вступил в законную силу.</w:t>
      </w:r>
    </w:p>
    <w:p w14:paraId="0C000000">
      <w:pPr>
        <w:widowControl w:val="1"/>
        <w:spacing w:line="240" w:lineRule="exact"/>
        <w:ind w:firstLine="0"/>
        <w:jc w:val="both"/>
      </w:pPr>
    </w:p>
    <w:p w14:paraId="0D000000">
      <w:pPr>
        <w:widowControl w:val="1"/>
        <w:spacing w:line="240" w:lineRule="exact"/>
        <w:ind w:firstLine="0"/>
        <w:jc w:val="both"/>
      </w:pPr>
    </w:p>
    <w:p w14:paraId="0E000000">
      <w:pPr>
        <w:widowControl w:val="1"/>
        <w:spacing w:line="240" w:lineRule="exact"/>
        <w:ind w:firstLine="0"/>
        <w:jc w:val="both"/>
      </w:pPr>
      <w:r>
        <w:t>Дата публикации 27.05.2026</w:t>
      </w:r>
    </w:p>
    <w:sectPr>
      <w:headerReference r:id="rId1" w:type="default"/>
      <w:footerReference r:id="rId2" w:type="first"/>
      <w:pgSz w:h="16848" w:orient="portrait" w:w="11908"/>
      <w:pgMar w:bottom="1417" w:footer="0" w:gutter="0" w:header="680" w:left="1417" w:right="567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W w:type="auto" w:w="0"/>
      <w:tblInd w:type="dxa" w:w="6744"/>
      <w:tblLayout w:type="fixed"/>
    </w:tblPr>
    <w:tblGrid>
      <w:gridCol w:w="2772"/>
    </w:tblGrid>
    <w:tr>
      <w:trPr>
        <w:trHeight w:hRule="atLeast" w:val="543"/>
      </w:trPr>
      <w:tc>
        <w:tcPr>
          <w:tcW w:type="dxa" w:w="2772"/>
        </w:tcPr>
        <w:p w14:paraId="03000000">
          <w:pPr>
            <w:widowControl w:val="1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4000000">
          <w:pPr>
            <w:pStyle w:val="Style_3"/>
            <w:widowControl w:val="1"/>
            <w:ind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Название"/>
    <w:basedOn w:val="Style_4"/>
    <w:link w:val="Style_6_ch"/>
    <w:pPr>
      <w:widowControl w:val="1"/>
      <w:ind/>
      <w:jc w:val="center"/>
    </w:pPr>
  </w:style>
  <w:style w:styleId="Style_6_ch" w:type="character">
    <w:name w:val="Название"/>
    <w:basedOn w:val="Style_4_ch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Plain Text"/>
    <w:basedOn w:val="Style_4"/>
    <w:link w:val="Style_10_ch"/>
    <w:rPr>
      <w:rFonts w:ascii="Consolas" w:hAnsi="Consolas"/>
      <w:sz w:val="21"/>
    </w:rPr>
  </w:style>
  <w:style w:styleId="Style_10_ch" w:type="character">
    <w:name w:val="Plain Text"/>
    <w:basedOn w:val="Style_4_ch"/>
    <w:link w:val="Style_10"/>
    <w:rPr>
      <w:rFonts w:ascii="Consolas" w:hAnsi="Consolas"/>
      <w:sz w:val="21"/>
    </w:rPr>
  </w:style>
  <w:style w:styleId="Style_11" w:type="paragraph">
    <w:name w:val="Знак1"/>
    <w:basedOn w:val="Style_4"/>
    <w:link w:val="Style_11_ch"/>
    <w:pPr>
      <w:widowControl w:val="1"/>
      <w:spacing w:after="160" w:line="240" w:lineRule="exact"/>
      <w:ind/>
      <w:jc w:val="both"/>
    </w:pPr>
    <w:rPr>
      <w:sz w:val="24"/>
    </w:rPr>
  </w:style>
  <w:style w:styleId="Style_11_ch" w:type="character">
    <w:name w:val="Знак1"/>
    <w:basedOn w:val="Style_4_ch"/>
    <w:link w:val="Style_11"/>
    <w:rPr>
      <w:sz w:val="24"/>
    </w:rPr>
  </w:style>
  <w:style w:styleId="Style_12" w:type="paragraph">
    <w:name w:val="Основной текст1"/>
    <w:basedOn w:val="Style_4"/>
    <w:link w:val="Style_12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12_ch" w:type="character">
    <w:name w:val="Основной текст1"/>
    <w:basedOn w:val="Style_4_ch"/>
    <w:link w:val="Style_12"/>
    <w:rPr>
      <w:rFonts w:asciiTheme="minorAscii" w:hAnsiTheme="minorHAnsi"/>
      <w:sz w:val="22"/>
    </w:rPr>
  </w:style>
  <w:style w:styleId="Style_13" w:type="paragraph">
    <w:name w:val="address2"/>
    <w:basedOn w:val="Style_14"/>
    <w:link w:val="Style_13_ch"/>
  </w:style>
  <w:style w:styleId="Style_13_ch" w:type="character">
    <w:name w:val="address2"/>
    <w:basedOn w:val="Style_14_ch"/>
    <w:link w:val="Style_13"/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4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Normal (Web)"/>
    <w:basedOn w:val="Style_4"/>
    <w:link w:val="Style_17_ch"/>
    <w:pPr>
      <w:widowControl w:val="1"/>
      <w:spacing w:afterAutospacing="on" w:beforeAutospacing="on"/>
      <w:ind/>
    </w:pPr>
    <w:rPr>
      <w:sz w:val="24"/>
    </w:rPr>
  </w:style>
  <w:style w:styleId="Style_17_ch" w:type="character">
    <w:name w:val="Normal (Web)"/>
    <w:basedOn w:val="Style_4_ch"/>
    <w:link w:val="Style_17"/>
    <w:rPr>
      <w:sz w:val="24"/>
    </w:rPr>
  </w:style>
  <w:style w:styleId="Style_18" w:type="paragraph">
    <w:name w:val="toc 3"/>
    <w:next w:val="Style_4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Знак"/>
    <w:basedOn w:val="Style_4"/>
    <w:link w:val="Style_1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9_ch" w:type="character">
    <w:name w:val="Знак"/>
    <w:basedOn w:val="Style_4_ch"/>
    <w:link w:val="Style_19"/>
    <w:rPr>
      <w:rFonts w:ascii="Verdana" w:hAnsi="Verdana"/>
      <w:sz w:val="20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List Paragraph"/>
    <w:basedOn w:val="Style_4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4_ch"/>
    <w:link w:val="Style_27"/>
  </w:style>
  <w:style w:styleId="Style_28" w:type="paragraph">
    <w:name w:val="Содержимое таблицы"/>
    <w:basedOn w:val="Style_4"/>
    <w:link w:val="Style_28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28_ch" w:type="character">
    <w:name w:val="Содержимое таблицы"/>
    <w:basedOn w:val="Style_4_ch"/>
    <w:link w:val="Style_28"/>
    <w:rPr>
      <w:rFonts w:ascii="Calibri" w:hAnsi="Calibri"/>
      <w:sz w:val="22"/>
    </w:rPr>
  </w:style>
  <w:style w:styleId="Style_29" w:type="paragraph">
    <w:name w:val="toc 8"/>
    <w:next w:val="Style_4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trong"/>
    <w:link w:val="Style_31_ch"/>
    <w:rPr>
      <w:b w:val="1"/>
    </w:rPr>
  </w:style>
  <w:style w:styleId="Style_31_ch" w:type="character">
    <w:name w:val="Strong"/>
    <w:link w:val="Style_31"/>
    <w:rPr>
      <w:b w:val="1"/>
    </w:rPr>
  </w:style>
  <w:style w:styleId="Style_32" w:type="paragraph">
    <w:name w:val="Subtitle"/>
    <w:next w:val="Style_4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3" w:type="paragraph">
    <w:name w:val="Balloon Text"/>
    <w:basedOn w:val="Style_4"/>
    <w:link w:val="Style_33_ch"/>
    <w:rPr>
      <w:rFonts w:ascii="Segoe UI" w:hAnsi="Segoe UI"/>
      <w:sz w:val="18"/>
    </w:rPr>
  </w:style>
  <w:style w:styleId="Style_33_ch" w:type="character">
    <w:name w:val="Balloon Text"/>
    <w:basedOn w:val="Style_4_ch"/>
    <w:link w:val="Style_33"/>
    <w:rPr>
      <w:rFonts w:ascii="Segoe UI" w:hAnsi="Segoe UI"/>
      <w:sz w:val="1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4" w:type="paragraph">
    <w:name w:val="Title"/>
    <w:next w:val="Style_4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table">
    <w:name w:val="Сетка таблицы светлая1"/>
    <w:basedOn w:val="Style_3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9" w:type="table">
    <w:name w:val="Сетка таблицы1"/>
    <w:basedOn w:val="Style_38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3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2021-10-04T07:03:00Z</dcterms:created>
  <dcterms:modified xsi:type="dcterms:W3CDTF">2026-06-21T14:50:28Z</dcterms:modified>
</cp:coreProperties>
</file>